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B3" w:rsidRPr="009339B3" w:rsidRDefault="009339B3" w:rsidP="009339B3">
      <w:pPr>
        <w:shd w:val="clear" w:color="auto" w:fill="FFFFFF"/>
        <w:spacing w:before="100" w:beforeAutospacing="1" w:after="100" w:afterAutospacing="1" w:line="240" w:lineRule="auto"/>
        <w:outlineLvl w:val="0"/>
        <w:rPr>
          <w:rFonts w:ascii="Montserrat" w:eastAsia="Times New Roman" w:hAnsi="Montserrat" w:cs="Times New Roman"/>
          <w:b/>
          <w:bCs/>
          <w:color w:val="36394D"/>
          <w:kern w:val="36"/>
          <w:sz w:val="48"/>
          <w:szCs w:val="48"/>
        </w:rPr>
      </w:pPr>
      <w:r w:rsidRPr="009339B3">
        <w:rPr>
          <w:rFonts w:ascii="Montserrat" w:eastAsia="Times New Roman" w:hAnsi="Montserrat" w:cs="Times New Roman"/>
          <w:b/>
          <w:bCs/>
          <w:color w:val="36394D"/>
          <w:kern w:val="36"/>
          <w:sz w:val="48"/>
          <w:szCs w:val="48"/>
        </w:rPr>
        <w:t>The OSI Model</w:t>
      </w:r>
    </w:p>
    <w:p w:rsidR="009339B3" w:rsidRPr="009339B3" w:rsidRDefault="009339B3" w:rsidP="009339B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9339B3">
        <w:rPr>
          <w:rFonts w:ascii="Montserrat" w:eastAsia="Times New Roman" w:hAnsi="Montserrat" w:cs="Times New Roman"/>
          <w:color w:val="36394D"/>
          <w:sz w:val="18"/>
          <w:szCs w:val="18"/>
        </w:rPr>
        <w:t>The Open Systems Interconnect (OSI) model describes how netw</w:t>
      </w:r>
      <w:r w:rsidR="00F47E84">
        <w:rPr>
          <w:rFonts w:ascii="Montserrat" w:eastAsia="Times New Roman" w:hAnsi="Montserrat" w:cs="Times New Roman"/>
          <w:color w:val="36394D"/>
          <w:sz w:val="18"/>
          <w:szCs w:val="18"/>
        </w:rPr>
        <w:t>orks communicate</w:t>
      </w:r>
      <w:r w:rsidRPr="009339B3">
        <w:rPr>
          <w:rFonts w:ascii="Montserrat" w:eastAsia="Times New Roman" w:hAnsi="Montserrat" w:cs="Times New Roman"/>
          <w:color w:val="36394D"/>
          <w:sz w:val="18"/>
          <w:szCs w:val="18"/>
        </w:rPr>
        <w:t xml:space="preserve">. It describes the various protocols and activities and states how the protocols and activities relate to each other. This model is divided into seven layers. It was originally developed by the International </w:t>
      </w:r>
      <w:proofErr w:type="spellStart"/>
      <w:r w:rsidRPr="009339B3">
        <w:rPr>
          <w:rFonts w:ascii="Montserrat" w:eastAsia="Times New Roman" w:hAnsi="Montserrat" w:cs="Times New Roman"/>
          <w:color w:val="36394D"/>
          <w:sz w:val="18"/>
          <w:szCs w:val="18"/>
        </w:rPr>
        <w:t>Organisation</w:t>
      </w:r>
      <w:proofErr w:type="spellEnd"/>
      <w:r w:rsidRPr="009339B3">
        <w:rPr>
          <w:rFonts w:ascii="Montserrat" w:eastAsia="Times New Roman" w:hAnsi="Montserrat" w:cs="Times New Roman"/>
          <w:color w:val="36394D"/>
          <w:sz w:val="18"/>
          <w:szCs w:val="18"/>
        </w:rPr>
        <w:t xml:space="preserve"> for Standardization (ISO) in the 1980s.</w:t>
      </w:r>
    </w:p>
    <w:p w:rsidR="009339B3" w:rsidRPr="009339B3" w:rsidRDefault="009339B3" w:rsidP="009339B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p>
    <w:p w:rsidR="009339B3" w:rsidRPr="009339B3" w:rsidRDefault="009339B3" w:rsidP="009339B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Pr>
          <w:rFonts w:ascii="Montserrat" w:eastAsia="Times New Roman" w:hAnsi="Montserrat" w:cs="Times New Roman"/>
          <w:noProof/>
          <w:color w:val="36394D"/>
          <w:sz w:val="18"/>
          <w:szCs w:val="18"/>
        </w:rPr>
        <w:drawing>
          <wp:inline distT="0" distB="0" distL="0" distR="0">
            <wp:extent cx="5283200" cy="4800600"/>
            <wp:effectExtent l="19050" t="0" r="0" b="0"/>
            <wp:docPr id="1" name="Picture 1" descr="https://s3.amazonaws.com/thinkific/file_uploads/231374/images/ae6/d75/e4c/1579351897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231374/images/ae6/d75/e4c/1579351897437.jpg"/>
                    <pic:cNvPicPr>
                      <a:picLocks noChangeAspect="1" noChangeArrowheads="1"/>
                    </pic:cNvPicPr>
                  </pic:nvPicPr>
                  <pic:blipFill>
                    <a:blip r:embed="rId4"/>
                    <a:srcRect/>
                    <a:stretch>
                      <a:fillRect/>
                    </a:stretch>
                  </pic:blipFill>
                  <pic:spPr bwMode="auto">
                    <a:xfrm>
                      <a:off x="0" y="0"/>
                      <a:ext cx="5283200" cy="4800600"/>
                    </a:xfrm>
                    <a:prstGeom prst="rect">
                      <a:avLst/>
                    </a:prstGeom>
                    <a:noFill/>
                    <a:ln w="9525">
                      <a:noFill/>
                      <a:miter lim="800000"/>
                      <a:headEnd/>
                      <a:tailEnd/>
                    </a:ln>
                  </pic:spPr>
                </pic:pic>
              </a:graphicData>
            </a:graphic>
          </wp:inline>
        </w:drawing>
      </w:r>
    </w:p>
    <w:p w:rsidR="009339B3" w:rsidRPr="009339B3" w:rsidRDefault="009339B3" w:rsidP="009339B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p>
    <w:p w:rsidR="009339B3" w:rsidRPr="009339B3" w:rsidRDefault="009339B3" w:rsidP="009339B3">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p>
    <w:tbl>
      <w:tblPr>
        <w:tblW w:w="6680" w:type="dxa"/>
        <w:shd w:val="clear" w:color="auto" w:fill="FFFFFF"/>
        <w:tblCellMar>
          <w:left w:w="0" w:type="dxa"/>
          <w:right w:w="0" w:type="dxa"/>
        </w:tblCellMar>
        <w:tblLook w:val="04A0"/>
      </w:tblPr>
      <w:tblGrid>
        <w:gridCol w:w="2046"/>
        <w:gridCol w:w="2999"/>
        <w:gridCol w:w="1635"/>
      </w:tblGrid>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C00000"/>
            <w:hideMark/>
          </w:tcPr>
          <w:p w:rsidR="009339B3" w:rsidRPr="009339B3" w:rsidRDefault="009339B3" w:rsidP="009339B3">
            <w:pPr>
              <w:spacing w:after="0" w:line="240" w:lineRule="auto"/>
              <w:jc w:val="center"/>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FFFFFF"/>
                <w:sz w:val="18"/>
              </w:rPr>
              <w:t>Layer</w:t>
            </w:r>
          </w:p>
        </w:tc>
        <w:tc>
          <w:tcPr>
            <w:tcW w:w="2200" w:type="pct"/>
            <w:tcBorders>
              <w:top w:val="single" w:sz="4" w:space="0" w:color="DDDDDD"/>
              <w:left w:val="single" w:sz="4" w:space="0" w:color="DDDDDD"/>
              <w:bottom w:val="single" w:sz="4" w:space="0" w:color="DDDDDD"/>
              <w:right w:val="single" w:sz="4" w:space="0" w:color="DDDDDD"/>
            </w:tcBorders>
            <w:shd w:val="clear" w:color="auto" w:fill="C00000"/>
            <w:hideMark/>
          </w:tcPr>
          <w:p w:rsidR="009339B3" w:rsidRPr="009339B3" w:rsidRDefault="009339B3" w:rsidP="009339B3">
            <w:pPr>
              <w:spacing w:after="0" w:line="240" w:lineRule="auto"/>
              <w:jc w:val="center"/>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FFFFFF"/>
                <w:sz w:val="18"/>
              </w:rPr>
              <w:t>Description</w:t>
            </w:r>
          </w:p>
        </w:tc>
        <w:tc>
          <w:tcPr>
            <w:tcW w:w="1200" w:type="pct"/>
            <w:tcBorders>
              <w:top w:val="single" w:sz="4" w:space="0" w:color="DDDDDD"/>
              <w:left w:val="single" w:sz="4" w:space="0" w:color="DDDDDD"/>
              <w:bottom w:val="single" w:sz="4" w:space="0" w:color="DDDDDD"/>
              <w:right w:val="single" w:sz="4" w:space="0" w:color="DDDDDD"/>
            </w:tcBorders>
            <w:shd w:val="clear" w:color="auto" w:fill="C00000"/>
            <w:hideMark/>
          </w:tcPr>
          <w:p w:rsidR="009339B3" w:rsidRPr="009339B3" w:rsidRDefault="009339B3" w:rsidP="009339B3">
            <w:pPr>
              <w:spacing w:after="0" w:line="240" w:lineRule="auto"/>
              <w:jc w:val="center"/>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FFFFFF"/>
                <w:sz w:val="18"/>
              </w:rPr>
              <w:t>Protocols</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Application </w:t>
            </w:r>
            <w:r w:rsidRPr="009339B3">
              <w:rPr>
                <w:rFonts w:ascii="Century Gothic" w:eastAsia="Times New Roman" w:hAnsi="Century Gothic" w:cs="Times New Roman"/>
                <w:b/>
                <w:bCs/>
                <w:color w:val="FF0000"/>
                <w:sz w:val="18"/>
              </w:rPr>
              <w:t>(7)</w:t>
            </w:r>
          </w:p>
        </w:tc>
        <w:tc>
          <w:tcPr>
            <w:tcW w:w="2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This layer interfaces directly to applications and performs common application services for the application processes</w:t>
            </w:r>
          </w:p>
        </w:tc>
        <w:tc>
          <w:tcPr>
            <w:tcW w:w="1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POP, SMTP, DNS, FTP, Telnet, HTTP</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Presentation </w:t>
            </w:r>
            <w:r w:rsidRPr="009339B3">
              <w:rPr>
                <w:rFonts w:ascii="Century Gothic" w:eastAsia="Times New Roman" w:hAnsi="Century Gothic" w:cs="Times New Roman"/>
                <w:b/>
                <w:bCs/>
                <w:color w:val="FF0000"/>
                <w:sz w:val="18"/>
              </w:rPr>
              <w:t>(6)</w:t>
            </w:r>
          </w:p>
        </w:tc>
        <w:tc>
          <w:tcPr>
            <w:tcW w:w="22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 xml:space="preserve">Relieves the application layer of concern regarding syntactical differences in data </w:t>
            </w:r>
            <w:r w:rsidRPr="009339B3">
              <w:rPr>
                <w:rFonts w:ascii="Century Gothic" w:eastAsia="Times New Roman" w:hAnsi="Century Gothic" w:cs="Times New Roman"/>
                <w:b/>
                <w:bCs/>
                <w:color w:val="36394D"/>
                <w:sz w:val="18"/>
              </w:rPr>
              <w:lastRenderedPageBreak/>
              <w:t>representation within the end-user systems.</w:t>
            </w:r>
          </w:p>
        </w:tc>
        <w:tc>
          <w:tcPr>
            <w:tcW w:w="12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lastRenderedPageBreak/>
              <w:t xml:space="preserve">Network Data Representation (NDR), </w:t>
            </w:r>
            <w:r w:rsidRPr="009339B3">
              <w:rPr>
                <w:rFonts w:ascii="Century Gothic" w:eastAsia="Times New Roman" w:hAnsi="Century Gothic" w:cs="Times New Roman"/>
                <w:b/>
                <w:bCs/>
                <w:color w:val="36394D"/>
                <w:sz w:val="18"/>
              </w:rPr>
              <w:lastRenderedPageBreak/>
              <w:t>Lightweight Presentation Protocol (LPP)</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lastRenderedPageBreak/>
              <w:t>Session </w:t>
            </w:r>
            <w:r w:rsidRPr="009339B3">
              <w:rPr>
                <w:rFonts w:ascii="Century Gothic" w:eastAsia="Times New Roman" w:hAnsi="Century Gothic" w:cs="Times New Roman"/>
                <w:b/>
                <w:bCs/>
                <w:color w:val="FF0000"/>
                <w:sz w:val="18"/>
              </w:rPr>
              <w:t>(5)</w:t>
            </w:r>
          </w:p>
        </w:tc>
        <w:tc>
          <w:tcPr>
            <w:tcW w:w="2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Provides the mechanism for managing the dialogue between end-user application processes</w:t>
            </w:r>
          </w:p>
        </w:tc>
        <w:tc>
          <w:tcPr>
            <w:tcW w:w="1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NetBIOS</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Transport </w:t>
            </w:r>
            <w:r w:rsidRPr="009339B3">
              <w:rPr>
                <w:rFonts w:ascii="Century Gothic" w:eastAsia="Times New Roman" w:hAnsi="Century Gothic" w:cs="Times New Roman"/>
                <w:b/>
                <w:bCs/>
                <w:color w:val="FF0000"/>
                <w:sz w:val="18"/>
              </w:rPr>
              <w:t>(4)</w:t>
            </w:r>
          </w:p>
        </w:tc>
        <w:tc>
          <w:tcPr>
            <w:tcW w:w="22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Provides end-to-end communication control</w:t>
            </w:r>
          </w:p>
        </w:tc>
        <w:tc>
          <w:tcPr>
            <w:tcW w:w="12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TCP,UDP</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Network </w:t>
            </w:r>
            <w:r w:rsidRPr="009339B3">
              <w:rPr>
                <w:rFonts w:ascii="Century Gothic" w:eastAsia="Times New Roman" w:hAnsi="Century Gothic" w:cs="Times New Roman"/>
                <w:b/>
                <w:bCs/>
                <w:color w:val="FF0000"/>
                <w:sz w:val="18"/>
              </w:rPr>
              <w:t>(3)</w:t>
            </w:r>
          </w:p>
        </w:tc>
        <w:tc>
          <w:tcPr>
            <w:tcW w:w="2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Routes information in the network</w:t>
            </w:r>
          </w:p>
        </w:tc>
        <w:tc>
          <w:tcPr>
            <w:tcW w:w="1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IP,ARP,ICMP</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Data Link </w:t>
            </w:r>
            <w:r w:rsidRPr="009339B3">
              <w:rPr>
                <w:rFonts w:ascii="Century Gothic" w:eastAsia="Times New Roman" w:hAnsi="Century Gothic" w:cs="Times New Roman"/>
                <w:b/>
                <w:bCs/>
                <w:color w:val="FF0000"/>
                <w:sz w:val="18"/>
              </w:rPr>
              <w:t>(2)</w:t>
            </w:r>
          </w:p>
        </w:tc>
        <w:tc>
          <w:tcPr>
            <w:tcW w:w="22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 xml:space="preserve">Describes the logical </w:t>
            </w:r>
            <w:proofErr w:type="spellStart"/>
            <w:r w:rsidRPr="009339B3">
              <w:rPr>
                <w:rFonts w:ascii="Century Gothic" w:eastAsia="Times New Roman" w:hAnsi="Century Gothic" w:cs="Times New Roman"/>
                <w:b/>
                <w:bCs/>
                <w:color w:val="36394D"/>
                <w:sz w:val="18"/>
              </w:rPr>
              <w:t>organisation</w:t>
            </w:r>
            <w:proofErr w:type="spellEnd"/>
            <w:r w:rsidRPr="009339B3">
              <w:rPr>
                <w:rFonts w:ascii="Century Gothic" w:eastAsia="Times New Roman" w:hAnsi="Century Gothic" w:cs="Times New Roman"/>
                <w:b/>
                <w:bCs/>
                <w:color w:val="36394D"/>
                <w:sz w:val="18"/>
              </w:rPr>
              <w:t xml:space="preserve"> of data bits transmitted on a particular medium. The data link layer is divided in two </w:t>
            </w:r>
            <w:proofErr w:type="spellStart"/>
            <w:r w:rsidRPr="009339B3">
              <w:rPr>
                <w:rFonts w:ascii="Century Gothic" w:eastAsia="Times New Roman" w:hAnsi="Century Gothic" w:cs="Times New Roman"/>
                <w:b/>
                <w:bCs/>
                <w:color w:val="36394D"/>
                <w:sz w:val="18"/>
              </w:rPr>
              <w:t>sublayers</w:t>
            </w:r>
            <w:proofErr w:type="spellEnd"/>
            <w:r w:rsidRPr="009339B3">
              <w:rPr>
                <w:rFonts w:ascii="Century Gothic" w:eastAsia="Times New Roman" w:hAnsi="Century Gothic" w:cs="Times New Roman"/>
                <w:b/>
                <w:bCs/>
                <w:color w:val="36394D"/>
                <w:sz w:val="18"/>
              </w:rPr>
              <w:t>: the Media Access Control Layer (MAC) and the Logical Link Control Layer (LLC)</w:t>
            </w:r>
          </w:p>
        </w:tc>
        <w:tc>
          <w:tcPr>
            <w:tcW w:w="12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SLIP, PPP</w:t>
            </w:r>
          </w:p>
        </w:tc>
      </w:tr>
      <w:tr w:rsidR="009339B3" w:rsidRPr="009339B3" w:rsidTr="009339B3">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Physical </w:t>
            </w:r>
            <w:r w:rsidRPr="009339B3">
              <w:rPr>
                <w:rFonts w:ascii="Century Gothic" w:eastAsia="Times New Roman" w:hAnsi="Century Gothic" w:cs="Times New Roman"/>
                <w:b/>
                <w:bCs/>
                <w:color w:val="FF0000"/>
                <w:sz w:val="18"/>
              </w:rPr>
              <w:t>(1)</w:t>
            </w:r>
          </w:p>
        </w:tc>
        <w:tc>
          <w:tcPr>
            <w:tcW w:w="2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Describes the physical properties of various communication media as well as the electrical properties and interpretation of the exchanged signals. The physical layer is the actual NIC and the Ethernet cable. </w:t>
            </w:r>
          </w:p>
        </w:tc>
        <w:tc>
          <w:tcPr>
            <w:tcW w:w="12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9339B3" w:rsidRPr="009339B3" w:rsidRDefault="009339B3" w:rsidP="009339B3">
            <w:pPr>
              <w:spacing w:after="0" w:line="240" w:lineRule="auto"/>
              <w:rPr>
                <w:rFonts w:ascii="Century Gothic" w:eastAsia="Times New Roman" w:hAnsi="Century Gothic" w:cs="Times New Roman"/>
                <w:color w:val="36394D"/>
                <w:sz w:val="16"/>
                <w:szCs w:val="16"/>
              </w:rPr>
            </w:pPr>
            <w:r w:rsidRPr="009339B3">
              <w:rPr>
                <w:rFonts w:ascii="Century Gothic" w:eastAsia="Times New Roman" w:hAnsi="Century Gothic" w:cs="Times New Roman"/>
                <w:b/>
                <w:bCs/>
                <w:color w:val="36394D"/>
                <w:sz w:val="18"/>
              </w:rPr>
              <w:t>IEEE 1394, DSL, ISDN</w:t>
            </w:r>
          </w:p>
        </w:tc>
      </w:tr>
    </w:tbl>
    <w:p w:rsidR="00F0071C" w:rsidRDefault="00F0071C"/>
    <w:sectPr w:rsidR="00F0071C" w:rsidSect="00545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339B3"/>
    <w:rsid w:val="0054524C"/>
    <w:rsid w:val="009339B3"/>
    <w:rsid w:val="00F0071C"/>
    <w:rsid w:val="00F47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4C"/>
  </w:style>
  <w:style w:type="paragraph" w:styleId="Heading1">
    <w:name w:val="heading 1"/>
    <w:basedOn w:val="Normal"/>
    <w:link w:val="Heading1Char"/>
    <w:uiPriority w:val="9"/>
    <w:qFormat/>
    <w:rsid w:val="00933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B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339B3"/>
    <w:rPr>
      <w:b/>
      <w:bCs/>
    </w:rPr>
  </w:style>
  <w:style w:type="paragraph" w:styleId="NormalWeb">
    <w:name w:val="Normal (Web)"/>
    <w:basedOn w:val="Normal"/>
    <w:uiPriority w:val="99"/>
    <w:unhideWhenUsed/>
    <w:rsid w:val="009339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3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53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2020-06-12T00:22:00Z</dcterms:created>
  <dcterms:modified xsi:type="dcterms:W3CDTF">2020-06-19T23:57:00Z</dcterms:modified>
</cp:coreProperties>
</file>