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6945" w14:textId="77777777" w:rsidR="000464A5" w:rsidRPr="000464A5" w:rsidRDefault="000464A5" w:rsidP="000464A5">
      <w:pPr>
        <w:rPr>
          <w:b/>
          <w:bCs/>
          <w:sz w:val="24"/>
          <w:szCs w:val="24"/>
        </w:rPr>
      </w:pPr>
      <w:r w:rsidRPr="000464A5">
        <w:rPr>
          <w:b/>
          <w:bCs/>
          <w:sz w:val="24"/>
          <w:szCs w:val="24"/>
        </w:rPr>
        <w:t>Stock Market Basics &amp; Financial Statement Analysis</w:t>
      </w:r>
    </w:p>
    <w:p w14:paraId="40B75DC6" w14:textId="77777777" w:rsidR="000464A5" w:rsidRPr="000464A5" w:rsidRDefault="000464A5" w:rsidP="000464A5">
      <w:pPr>
        <w:rPr>
          <w:b/>
          <w:bCs/>
          <w:sz w:val="24"/>
          <w:szCs w:val="24"/>
        </w:rPr>
      </w:pPr>
      <w:r w:rsidRPr="000464A5">
        <w:rPr>
          <w:b/>
          <w:bCs/>
          <w:sz w:val="24"/>
          <w:szCs w:val="24"/>
        </w:rPr>
        <w:t>1. Basic Stock Market Concepts</w:t>
      </w:r>
    </w:p>
    <w:p w14:paraId="5595495F" w14:textId="77777777" w:rsidR="000464A5" w:rsidRPr="000464A5" w:rsidRDefault="000464A5" w:rsidP="000464A5">
      <w:pPr>
        <w:rPr>
          <w:sz w:val="24"/>
          <w:szCs w:val="24"/>
        </w:rPr>
      </w:pPr>
      <w:r w:rsidRPr="000464A5">
        <w:rPr>
          <w:sz w:val="24"/>
          <w:szCs w:val="24"/>
        </w:rPr>
        <w:t xml:space="preserve">The </w:t>
      </w:r>
      <w:r w:rsidRPr="000464A5">
        <w:rPr>
          <w:b/>
          <w:bCs/>
          <w:sz w:val="24"/>
          <w:szCs w:val="24"/>
        </w:rPr>
        <w:t>stock market</w:t>
      </w:r>
      <w:r w:rsidRPr="000464A5">
        <w:rPr>
          <w:sz w:val="24"/>
          <w:szCs w:val="24"/>
        </w:rPr>
        <w:t xml:space="preserve"> is a marketplace where investors buy and sell shares of publicly listed companies. A </w:t>
      </w:r>
      <w:r w:rsidRPr="000464A5">
        <w:rPr>
          <w:b/>
          <w:bCs/>
          <w:sz w:val="24"/>
          <w:szCs w:val="24"/>
        </w:rPr>
        <w:t>share</w:t>
      </w:r>
      <w:r w:rsidRPr="000464A5">
        <w:rPr>
          <w:sz w:val="24"/>
          <w:szCs w:val="24"/>
        </w:rPr>
        <w:t xml:space="preserve"> represents a small ownership portion of a company. Companies issue shares to raise capital for business expansion and other purposes.</w:t>
      </w:r>
    </w:p>
    <w:p w14:paraId="5B2CB68C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NSE &amp; BSE:</w:t>
      </w:r>
      <w:r w:rsidRPr="000464A5">
        <w:rPr>
          <w:sz w:val="24"/>
          <w:szCs w:val="24"/>
        </w:rPr>
        <w:t xml:space="preserve"> Major stock exchanges in India where listed shares are traded.</w:t>
      </w:r>
    </w:p>
    <w:p w14:paraId="5D640E6C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Share Price:</w:t>
      </w:r>
      <w:r w:rsidRPr="000464A5">
        <w:rPr>
          <w:sz w:val="24"/>
          <w:szCs w:val="24"/>
        </w:rPr>
        <w:t xml:space="preserve"> The current market price at which a company's share trades.</w:t>
      </w:r>
    </w:p>
    <w:p w14:paraId="628A1ED9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Market Capitalization:</w:t>
      </w:r>
      <w:r w:rsidRPr="000464A5">
        <w:rPr>
          <w:sz w:val="24"/>
          <w:szCs w:val="24"/>
        </w:rPr>
        <w:t xml:space="preserve"> Share price × total outstanding shares. It indicates the company's market value.</w:t>
      </w:r>
    </w:p>
    <w:p w14:paraId="67CE4DF6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EPS (Earnings Per Share):</w:t>
      </w:r>
      <w:r w:rsidRPr="000464A5">
        <w:rPr>
          <w:sz w:val="24"/>
          <w:szCs w:val="24"/>
        </w:rPr>
        <w:t xml:space="preserve"> Profit attributable to shareholders divided by the number of shares. Higher and growing EPS generally indicates stronger earnings.</w:t>
      </w:r>
    </w:p>
    <w:p w14:paraId="7091BC1E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P/E Ratio:</w:t>
      </w:r>
      <w:r w:rsidRPr="000464A5">
        <w:rPr>
          <w:sz w:val="24"/>
          <w:szCs w:val="24"/>
        </w:rPr>
        <w:t xml:space="preserve"> Share price ÷ EPS. It indicates how much investors are willing to pay for ₹1 of earnings.</w:t>
      </w:r>
    </w:p>
    <w:p w14:paraId="21EABE5D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Book Value:</w:t>
      </w:r>
      <w:r w:rsidRPr="000464A5">
        <w:rPr>
          <w:sz w:val="24"/>
          <w:szCs w:val="24"/>
        </w:rPr>
        <w:t xml:space="preserve"> Net assets available to shareholders divided by the number of shares.</w:t>
      </w:r>
    </w:p>
    <w:p w14:paraId="4595CC2D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Dividend:</w:t>
      </w:r>
      <w:r w:rsidRPr="000464A5">
        <w:rPr>
          <w:sz w:val="24"/>
          <w:szCs w:val="24"/>
        </w:rPr>
        <w:t xml:space="preserve"> A portion of company profit distributed to shareholders.</w:t>
      </w:r>
    </w:p>
    <w:p w14:paraId="1EC6C4C0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Bonus Shares:</w:t>
      </w:r>
      <w:r w:rsidRPr="000464A5">
        <w:rPr>
          <w:sz w:val="24"/>
          <w:szCs w:val="24"/>
        </w:rPr>
        <w:t xml:space="preserve"> Additional shares given to existing shareholders without requiring payment.</w:t>
      </w:r>
    </w:p>
    <w:p w14:paraId="4A76AA87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Stock Split:</w:t>
      </w:r>
      <w:r w:rsidRPr="000464A5">
        <w:rPr>
          <w:sz w:val="24"/>
          <w:szCs w:val="24"/>
        </w:rPr>
        <w:t xml:space="preserve"> Division of existing shares into smaller-denomination shares; the total investment value does not automatically increase because of the split.</w:t>
      </w:r>
    </w:p>
    <w:p w14:paraId="4578E066" w14:textId="77777777" w:rsidR="000464A5" w:rsidRP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Bull Market:</w:t>
      </w:r>
      <w:r w:rsidRPr="000464A5">
        <w:rPr>
          <w:sz w:val="24"/>
          <w:szCs w:val="24"/>
        </w:rPr>
        <w:t xml:space="preserve"> A period of generally rising stock prices.</w:t>
      </w:r>
    </w:p>
    <w:p w14:paraId="49457D59" w14:textId="77777777" w:rsidR="000464A5" w:rsidRDefault="000464A5" w:rsidP="000464A5">
      <w:pPr>
        <w:numPr>
          <w:ilvl w:val="0"/>
          <w:numId w:val="2"/>
        </w:num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t>Bear Market:</w:t>
      </w:r>
      <w:r w:rsidRPr="000464A5">
        <w:rPr>
          <w:sz w:val="24"/>
          <w:szCs w:val="24"/>
        </w:rPr>
        <w:t xml:space="preserve"> A period of generally falling stock prices.</w:t>
      </w:r>
    </w:p>
    <w:p w14:paraId="49A4D7E2" w14:textId="77777777" w:rsidR="00C31D5F" w:rsidRPr="000464A5" w:rsidRDefault="00C31D5F" w:rsidP="00C31D5F">
      <w:pPr>
        <w:ind w:left="720"/>
        <w:rPr>
          <w:sz w:val="24"/>
          <w:szCs w:val="24"/>
        </w:rPr>
      </w:pPr>
    </w:p>
    <w:p w14:paraId="09E6A670" w14:textId="77777777" w:rsidR="000464A5" w:rsidRPr="000464A5" w:rsidRDefault="000464A5" w:rsidP="000464A5">
      <w:pPr>
        <w:rPr>
          <w:b/>
          <w:bCs/>
        </w:rPr>
      </w:pPr>
      <w:r w:rsidRPr="000464A5">
        <w:rPr>
          <w:b/>
          <w:bCs/>
        </w:rPr>
        <w:t>2. Financial Statement Analysis — Tata Consultancy Services (TCS)</w:t>
      </w:r>
    </w:p>
    <w:p w14:paraId="708BC7C3" w14:textId="77777777" w:rsidR="000464A5" w:rsidRDefault="000464A5" w:rsidP="000464A5">
      <w:r w:rsidRPr="000464A5">
        <w:t xml:space="preserve">TCS is listed on both the </w:t>
      </w:r>
      <w:r w:rsidRPr="000464A5">
        <w:rPr>
          <w:b/>
          <w:bCs/>
        </w:rPr>
        <w:t>NSE and BSE</w:t>
      </w:r>
      <w:r w:rsidRPr="000464A5">
        <w:t>. For analysis, FY2026 figures are compared with FY2025.</w:t>
      </w:r>
    </w:p>
    <w:p w14:paraId="0ACE8D3F" w14:textId="77777777" w:rsidR="000464A5" w:rsidRPr="000464A5" w:rsidRDefault="000464A5" w:rsidP="000464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1454"/>
        <w:gridCol w:w="1454"/>
        <w:gridCol w:w="2039"/>
      </w:tblGrid>
      <w:tr w:rsidR="000464A5" w:rsidRPr="000464A5" w14:paraId="4399395D" w14:textId="77777777" w:rsidTr="000464A5">
        <w:tc>
          <w:tcPr>
            <w:tcW w:w="0" w:type="auto"/>
            <w:hideMark/>
          </w:tcPr>
          <w:p w14:paraId="3D7B8312" w14:textId="77777777" w:rsidR="000464A5" w:rsidRPr="000464A5" w:rsidRDefault="000464A5" w:rsidP="000464A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464A5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46600D80" w14:textId="77777777" w:rsidR="000464A5" w:rsidRPr="000464A5" w:rsidRDefault="000464A5" w:rsidP="000464A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464A5">
              <w:rPr>
                <w:b/>
                <w:bCs/>
                <w:sz w:val="24"/>
                <w:szCs w:val="24"/>
              </w:rPr>
              <w:t>FY2025</w:t>
            </w:r>
          </w:p>
        </w:tc>
        <w:tc>
          <w:tcPr>
            <w:tcW w:w="0" w:type="auto"/>
            <w:hideMark/>
          </w:tcPr>
          <w:p w14:paraId="6DF2B7AC" w14:textId="77777777" w:rsidR="000464A5" w:rsidRPr="000464A5" w:rsidRDefault="000464A5" w:rsidP="000464A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464A5">
              <w:rPr>
                <w:b/>
                <w:bCs/>
                <w:sz w:val="24"/>
                <w:szCs w:val="24"/>
              </w:rPr>
              <w:t>FY2026</w:t>
            </w:r>
          </w:p>
        </w:tc>
        <w:tc>
          <w:tcPr>
            <w:tcW w:w="0" w:type="auto"/>
            <w:hideMark/>
          </w:tcPr>
          <w:p w14:paraId="137D28F7" w14:textId="77777777" w:rsidR="000464A5" w:rsidRPr="000464A5" w:rsidRDefault="000464A5" w:rsidP="000464A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464A5">
              <w:rPr>
                <w:b/>
                <w:bCs/>
                <w:sz w:val="24"/>
                <w:szCs w:val="24"/>
              </w:rPr>
              <w:t>Observation</w:t>
            </w:r>
          </w:p>
        </w:tc>
      </w:tr>
      <w:tr w:rsidR="000464A5" w:rsidRPr="000464A5" w14:paraId="58840271" w14:textId="77777777" w:rsidTr="000464A5">
        <w:tc>
          <w:tcPr>
            <w:tcW w:w="0" w:type="auto"/>
            <w:hideMark/>
          </w:tcPr>
          <w:p w14:paraId="683A7003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b/>
                <w:bCs/>
                <w:sz w:val="24"/>
                <w:szCs w:val="24"/>
              </w:rPr>
              <w:t>Turnover / Revenue</w:t>
            </w:r>
          </w:p>
        </w:tc>
        <w:tc>
          <w:tcPr>
            <w:tcW w:w="0" w:type="auto"/>
            <w:hideMark/>
          </w:tcPr>
          <w:p w14:paraId="24E80B04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₹2,55,324 Cr</w:t>
            </w:r>
          </w:p>
        </w:tc>
        <w:tc>
          <w:tcPr>
            <w:tcW w:w="0" w:type="auto"/>
            <w:hideMark/>
          </w:tcPr>
          <w:p w14:paraId="74FB6FD1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₹2,67,021 Cr</w:t>
            </w:r>
          </w:p>
        </w:tc>
        <w:tc>
          <w:tcPr>
            <w:tcW w:w="0" w:type="auto"/>
            <w:hideMark/>
          </w:tcPr>
          <w:p w14:paraId="6CFD9D2F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Increased ~4.6%</w:t>
            </w:r>
          </w:p>
        </w:tc>
      </w:tr>
      <w:tr w:rsidR="000464A5" w:rsidRPr="000464A5" w14:paraId="5557825F" w14:textId="77777777" w:rsidTr="000464A5">
        <w:tc>
          <w:tcPr>
            <w:tcW w:w="0" w:type="auto"/>
            <w:hideMark/>
          </w:tcPr>
          <w:p w14:paraId="5B5E9851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b/>
                <w:bCs/>
                <w:sz w:val="24"/>
                <w:szCs w:val="24"/>
              </w:rPr>
              <w:t>Operating Profit / EBIT</w:t>
            </w:r>
          </w:p>
        </w:tc>
        <w:tc>
          <w:tcPr>
            <w:tcW w:w="0" w:type="auto"/>
            <w:hideMark/>
          </w:tcPr>
          <w:p w14:paraId="57065183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₹62,165 Cr</w:t>
            </w:r>
          </w:p>
        </w:tc>
        <w:tc>
          <w:tcPr>
            <w:tcW w:w="0" w:type="auto"/>
            <w:hideMark/>
          </w:tcPr>
          <w:p w14:paraId="2871F29F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₹66,838 Cr</w:t>
            </w:r>
          </w:p>
        </w:tc>
        <w:tc>
          <w:tcPr>
            <w:tcW w:w="0" w:type="auto"/>
            <w:hideMark/>
          </w:tcPr>
          <w:p w14:paraId="3675840C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Increased ~7.5%</w:t>
            </w:r>
          </w:p>
        </w:tc>
      </w:tr>
      <w:tr w:rsidR="000464A5" w:rsidRPr="000464A5" w14:paraId="07560DFA" w14:textId="77777777" w:rsidTr="000464A5">
        <w:tc>
          <w:tcPr>
            <w:tcW w:w="0" w:type="auto"/>
            <w:hideMark/>
          </w:tcPr>
          <w:p w14:paraId="19315154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b/>
                <w:bCs/>
                <w:sz w:val="24"/>
                <w:szCs w:val="24"/>
              </w:rPr>
              <w:t>Profit After Tax</w:t>
            </w:r>
          </w:p>
        </w:tc>
        <w:tc>
          <w:tcPr>
            <w:tcW w:w="0" w:type="auto"/>
            <w:hideMark/>
          </w:tcPr>
          <w:p w14:paraId="1409BCB0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₹48,553 Cr</w:t>
            </w:r>
          </w:p>
        </w:tc>
        <w:tc>
          <w:tcPr>
            <w:tcW w:w="0" w:type="auto"/>
            <w:hideMark/>
          </w:tcPr>
          <w:p w14:paraId="5498761E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₹52,820 Cr</w:t>
            </w:r>
          </w:p>
        </w:tc>
        <w:tc>
          <w:tcPr>
            <w:tcW w:w="0" w:type="auto"/>
            <w:hideMark/>
          </w:tcPr>
          <w:p w14:paraId="77F82FFE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Increased ~8.8%</w:t>
            </w:r>
          </w:p>
        </w:tc>
      </w:tr>
      <w:tr w:rsidR="000464A5" w:rsidRPr="000464A5" w14:paraId="566F62CD" w14:textId="77777777" w:rsidTr="000464A5">
        <w:tc>
          <w:tcPr>
            <w:tcW w:w="0" w:type="auto"/>
            <w:hideMark/>
          </w:tcPr>
          <w:p w14:paraId="0B62D61D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b/>
                <w:bCs/>
                <w:sz w:val="24"/>
                <w:szCs w:val="24"/>
              </w:rPr>
              <w:t>EPS</w:t>
            </w:r>
          </w:p>
        </w:tc>
        <w:tc>
          <w:tcPr>
            <w:tcW w:w="0" w:type="auto"/>
            <w:hideMark/>
          </w:tcPr>
          <w:p w14:paraId="69BCC30A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₹134.19</w:t>
            </w:r>
          </w:p>
        </w:tc>
        <w:tc>
          <w:tcPr>
            <w:tcW w:w="0" w:type="auto"/>
            <w:hideMark/>
          </w:tcPr>
          <w:p w14:paraId="099352CB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₹145.99</w:t>
            </w:r>
          </w:p>
        </w:tc>
        <w:tc>
          <w:tcPr>
            <w:tcW w:w="0" w:type="auto"/>
            <w:hideMark/>
          </w:tcPr>
          <w:p w14:paraId="73DBE865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Increased</w:t>
            </w:r>
          </w:p>
        </w:tc>
      </w:tr>
      <w:tr w:rsidR="000464A5" w:rsidRPr="000464A5" w14:paraId="7D24B47B" w14:textId="77777777" w:rsidTr="000464A5">
        <w:tc>
          <w:tcPr>
            <w:tcW w:w="0" w:type="auto"/>
            <w:hideMark/>
          </w:tcPr>
          <w:p w14:paraId="0A2E32E9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b/>
                <w:bCs/>
                <w:sz w:val="24"/>
                <w:szCs w:val="24"/>
              </w:rPr>
              <w:t>Net Profit Margin</w:t>
            </w:r>
          </w:p>
        </w:tc>
        <w:tc>
          <w:tcPr>
            <w:tcW w:w="0" w:type="auto"/>
            <w:hideMark/>
          </w:tcPr>
          <w:p w14:paraId="2963BF5B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~19.0%</w:t>
            </w:r>
          </w:p>
        </w:tc>
        <w:tc>
          <w:tcPr>
            <w:tcW w:w="0" w:type="auto"/>
            <w:hideMark/>
          </w:tcPr>
          <w:p w14:paraId="72B0CE10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~19.8%</w:t>
            </w:r>
          </w:p>
        </w:tc>
        <w:tc>
          <w:tcPr>
            <w:tcW w:w="0" w:type="auto"/>
            <w:hideMark/>
          </w:tcPr>
          <w:p w14:paraId="03DE2B03" w14:textId="77777777" w:rsidR="000464A5" w:rsidRPr="000464A5" w:rsidRDefault="000464A5" w:rsidP="000464A5">
            <w:pPr>
              <w:spacing w:after="160" w:line="259" w:lineRule="auto"/>
              <w:rPr>
                <w:sz w:val="24"/>
                <w:szCs w:val="24"/>
              </w:rPr>
            </w:pPr>
            <w:r w:rsidRPr="000464A5">
              <w:rPr>
                <w:sz w:val="24"/>
                <w:szCs w:val="24"/>
              </w:rPr>
              <w:t>Strong profitability</w:t>
            </w:r>
          </w:p>
        </w:tc>
      </w:tr>
    </w:tbl>
    <w:p w14:paraId="430869CD" w14:textId="77777777" w:rsidR="000464A5" w:rsidRPr="000464A5" w:rsidRDefault="000464A5" w:rsidP="000464A5">
      <w:pPr>
        <w:rPr>
          <w:sz w:val="24"/>
          <w:szCs w:val="24"/>
        </w:rPr>
      </w:pPr>
      <w:r w:rsidRPr="000464A5">
        <w:rPr>
          <w:b/>
          <w:bCs/>
          <w:sz w:val="24"/>
          <w:szCs w:val="24"/>
        </w:rPr>
        <w:lastRenderedPageBreak/>
        <w:t>Turnover</w:t>
      </w:r>
      <w:r w:rsidRPr="000464A5">
        <w:rPr>
          <w:sz w:val="24"/>
          <w:szCs w:val="24"/>
        </w:rPr>
        <w:t xml:space="preserve"> refers to the total revenue generated by a company from its business operations during a financial year. For TCS, FY2026 turnover/revenue was approximately </w:t>
      </w:r>
      <w:r w:rsidRPr="000464A5">
        <w:rPr>
          <w:b/>
          <w:bCs/>
          <w:sz w:val="24"/>
          <w:szCs w:val="24"/>
        </w:rPr>
        <w:t>₹2,67,021 crore</w:t>
      </w:r>
      <w:r w:rsidRPr="000464A5">
        <w:rPr>
          <w:sz w:val="24"/>
          <w:szCs w:val="24"/>
        </w:rPr>
        <w:t xml:space="preserve">, compared with </w:t>
      </w:r>
      <w:r w:rsidRPr="000464A5">
        <w:rPr>
          <w:b/>
          <w:bCs/>
          <w:sz w:val="24"/>
          <w:szCs w:val="24"/>
        </w:rPr>
        <w:t>₹2,55,324 crore</w:t>
      </w:r>
      <w:r w:rsidRPr="000464A5">
        <w:rPr>
          <w:sz w:val="24"/>
          <w:szCs w:val="24"/>
        </w:rPr>
        <w:t xml:space="preserve"> in FY2025.</w:t>
      </w:r>
    </w:p>
    <w:p w14:paraId="34CFB0F2" w14:textId="77777777" w:rsidR="000464A5" w:rsidRPr="000464A5" w:rsidRDefault="000464A5" w:rsidP="000464A5">
      <w:pPr>
        <w:rPr>
          <w:sz w:val="24"/>
          <w:szCs w:val="24"/>
        </w:rPr>
      </w:pPr>
      <w:r w:rsidRPr="000464A5">
        <w:rPr>
          <w:sz w:val="24"/>
          <w:szCs w:val="24"/>
        </w:rPr>
        <w:t xml:space="preserve">This represents approximately </w:t>
      </w:r>
      <w:r w:rsidRPr="000464A5">
        <w:rPr>
          <w:b/>
          <w:bCs/>
          <w:sz w:val="24"/>
          <w:szCs w:val="24"/>
        </w:rPr>
        <w:t>4.6% growth</w:t>
      </w:r>
      <w:r w:rsidRPr="000464A5">
        <w:rPr>
          <w:sz w:val="24"/>
          <w:szCs w:val="24"/>
        </w:rPr>
        <w:t>, showing that TCS generated higher revenue from its operations during FY2026.</w:t>
      </w:r>
    </w:p>
    <w:p w14:paraId="1EC3F4BB" w14:textId="77777777" w:rsidR="000464A5" w:rsidRPr="000464A5" w:rsidRDefault="000464A5" w:rsidP="000464A5">
      <w:pPr>
        <w:rPr>
          <w:sz w:val="24"/>
          <w:szCs w:val="24"/>
        </w:rPr>
      </w:pPr>
      <w:r w:rsidRPr="000464A5">
        <w:rPr>
          <w:sz w:val="24"/>
          <w:szCs w:val="24"/>
        </w:rPr>
        <w:t xml:space="preserve">TCS reported consolidated revenue of </w:t>
      </w:r>
      <w:r w:rsidRPr="000464A5">
        <w:rPr>
          <w:b/>
          <w:bCs/>
          <w:sz w:val="24"/>
          <w:szCs w:val="24"/>
        </w:rPr>
        <w:t>₹2,67,021 crore</w:t>
      </w:r>
      <w:r w:rsidRPr="000464A5">
        <w:rPr>
          <w:sz w:val="24"/>
          <w:szCs w:val="24"/>
        </w:rPr>
        <w:t xml:space="preserve"> and profit after tax of </w:t>
      </w:r>
      <w:r w:rsidRPr="000464A5">
        <w:rPr>
          <w:b/>
          <w:bCs/>
          <w:sz w:val="24"/>
          <w:szCs w:val="24"/>
        </w:rPr>
        <w:t>₹52,820 crore</w:t>
      </w:r>
      <w:r w:rsidRPr="000464A5">
        <w:rPr>
          <w:sz w:val="24"/>
          <w:szCs w:val="24"/>
        </w:rPr>
        <w:t xml:space="preserve"> in FY2026.</w:t>
      </w:r>
    </w:p>
    <w:p w14:paraId="5E9061FA" w14:textId="77777777" w:rsidR="000464A5" w:rsidRPr="000464A5" w:rsidRDefault="000464A5" w:rsidP="000464A5">
      <w:pPr>
        <w:rPr>
          <w:sz w:val="24"/>
          <w:szCs w:val="24"/>
        </w:rPr>
      </w:pPr>
      <w:r w:rsidRPr="000464A5">
        <w:rPr>
          <w:sz w:val="24"/>
          <w:szCs w:val="24"/>
        </w:rPr>
        <w:t xml:space="preserve">TCS's </w:t>
      </w:r>
      <w:r w:rsidRPr="000464A5">
        <w:rPr>
          <w:b/>
          <w:bCs/>
          <w:sz w:val="24"/>
          <w:szCs w:val="24"/>
        </w:rPr>
        <w:t>revenue increased about 4.6%</w:t>
      </w:r>
      <w:r w:rsidRPr="000464A5">
        <w:rPr>
          <w:sz w:val="24"/>
          <w:szCs w:val="24"/>
        </w:rPr>
        <w:t xml:space="preserve">, while profit after tax increased faster at about </w:t>
      </w:r>
      <w:r w:rsidRPr="000464A5">
        <w:rPr>
          <w:b/>
          <w:bCs/>
          <w:sz w:val="24"/>
          <w:szCs w:val="24"/>
        </w:rPr>
        <w:t>8.8%</w:t>
      </w:r>
      <w:r w:rsidRPr="000464A5">
        <w:rPr>
          <w:sz w:val="24"/>
          <w:szCs w:val="24"/>
        </w:rPr>
        <w:t xml:space="preserve">. This indicates improved profitability and operating efficiency. Its FY2026 EBIT margin was approximately </w:t>
      </w:r>
      <w:r w:rsidRPr="000464A5">
        <w:rPr>
          <w:b/>
          <w:bCs/>
          <w:sz w:val="24"/>
          <w:szCs w:val="24"/>
        </w:rPr>
        <w:t>25.0%</w:t>
      </w:r>
      <w:r w:rsidRPr="000464A5">
        <w:rPr>
          <w:sz w:val="24"/>
          <w:szCs w:val="24"/>
        </w:rPr>
        <w:t xml:space="preserve">, while the net profit margin was approximately </w:t>
      </w:r>
      <w:r w:rsidRPr="000464A5">
        <w:rPr>
          <w:b/>
          <w:bCs/>
          <w:sz w:val="24"/>
          <w:szCs w:val="24"/>
        </w:rPr>
        <w:t>19.8%</w:t>
      </w:r>
      <w:r w:rsidRPr="000464A5">
        <w:rPr>
          <w:sz w:val="24"/>
          <w:szCs w:val="24"/>
        </w:rPr>
        <w:t>.</w:t>
      </w:r>
    </w:p>
    <w:p w14:paraId="2F42A4A6" w14:textId="1A0F0C55" w:rsidR="000464A5" w:rsidRPr="000464A5" w:rsidRDefault="000464A5" w:rsidP="000464A5">
      <w:pPr>
        <w:rPr>
          <w:sz w:val="24"/>
          <w:szCs w:val="24"/>
        </w:rPr>
      </w:pPr>
      <w:r w:rsidRPr="000464A5">
        <w:rPr>
          <w:sz w:val="24"/>
          <w:szCs w:val="24"/>
        </w:rPr>
        <w:t xml:space="preserve">From the balance sheet perspective, TCS reported </w:t>
      </w:r>
      <w:r w:rsidRPr="000464A5">
        <w:rPr>
          <w:b/>
          <w:bCs/>
          <w:sz w:val="24"/>
          <w:szCs w:val="24"/>
        </w:rPr>
        <w:t>net worth of ₹1,07,240 crore in FY2026</w:t>
      </w:r>
      <w:r w:rsidRPr="000464A5">
        <w:rPr>
          <w:sz w:val="24"/>
          <w:szCs w:val="24"/>
        </w:rPr>
        <w:t xml:space="preserve">, compared with ₹94,756 crore in FY2025, indicating a stronger equity base. The company also reported FY2026 total assets of approximately </w:t>
      </w:r>
      <w:r w:rsidRPr="000464A5">
        <w:rPr>
          <w:b/>
          <w:bCs/>
          <w:sz w:val="24"/>
          <w:szCs w:val="24"/>
        </w:rPr>
        <w:t>$19.5 billion</w:t>
      </w:r>
      <w:r w:rsidRPr="000464A5">
        <w:rPr>
          <w:sz w:val="24"/>
          <w:szCs w:val="24"/>
        </w:rPr>
        <w:t xml:space="preserve"> under its IFRS financial statements.</w:t>
      </w:r>
    </w:p>
    <w:p w14:paraId="2AB33305" w14:textId="77777777" w:rsidR="000464A5" w:rsidRPr="000464A5" w:rsidRDefault="000464A5" w:rsidP="000464A5">
      <w:pPr>
        <w:rPr>
          <w:sz w:val="24"/>
          <w:szCs w:val="24"/>
        </w:rPr>
      </w:pPr>
      <w:r w:rsidRPr="000464A5">
        <w:rPr>
          <w:sz w:val="24"/>
          <w:szCs w:val="24"/>
        </w:rPr>
        <w:t xml:space="preserve">TCS's financial statements show </w:t>
      </w:r>
      <w:r w:rsidRPr="000464A5">
        <w:rPr>
          <w:b/>
          <w:bCs/>
          <w:sz w:val="24"/>
          <w:szCs w:val="24"/>
        </w:rPr>
        <w:t>steady turnover/revenue growth, faster profit growth, strong operating profitability and an increasing equity base</w:t>
      </w:r>
      <w:r w:rsidRPr="000464A5">
        <w:rPr>
          <w:sz w:val="24"/>
          <w:szCs w:val="24"/>
        </w:rPr>
        <w:t>. These are positive indicators when evaluating the company's financial health. However, financial statement analysis alone should not be treated as a buy/sell recommendation; investors should also consider valuation, industry conditions, future growth, competition and market risk.</w:t>
      </w:r>
    </w:p>
    <w:p w14:paraId="0FAC6813" w14:textId="77777777" w:rsidR="00D74C0D" w:rsidRDefault="00D74C0D"/>
    <w:sectPr w:rsidR="00D74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D3A89"/>
    <w:multiLevelType w:val="multilevel"/>
    <w:tmpl w:val="CDB4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50615"/>
    <w:multiLevelType w:val="multilevel"/>
    <w:tmpl w:val="F87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13990">
    <w:abstractNumId w:val="0"/>
  </w:num>
  <w:num w:numId="2" w16cid:durableId="2147232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A5"/>
    <w:rsid w:val="000464A5"/>
    <w:rsid w:val="007061F1"/>
    <w:rsid w:val="00864525"/>
    <w:rsid w:val="00A66A77"/>
    <w:rsid w:val="00C31D5F"/>
    <w:rsid w:val="00D7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A0BE"/>
  <w15:chartTrackingRefBased/>
  <w15:docId w15:val="{AC039807-C862-4E3A-9C13-CAC36736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6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Shamitha N Shetty</dc:creator>
  <cp:keywords/>
  <dc:description/>
  <cp:lastModifiedBy>Shamitha N Shetty</cp:lastModifiedBy>
  <cp:revision>2</cp:revision>
  <dcterms:created xsi:type="dcterms:W3CDTF">2026-09-12T16:17:00Z</dcterms:created>
  <dcterms:modified xsi:type="dcterms:W3CDTF">2026-09-12T20:46:00Z</dcterms:modified>
</cp:coreProperties>
</file>