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0574712643677"/>
        <w:gridCol w:w="7554.942528735632"/>
        <w:tblGridChange w:id="0">
          <w:tblGrid>
            <w:gridCol w:w="1805.0574712643677"/>
            <w:gridCol w:w="7554.94252873563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36609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36609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 unique identifier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 churn flag (Target)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Tenure of account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City_Tier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Tier of primary customer's city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CC_Contacted_L12m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times all the customers of the account has contacted customer care in last 12months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Preferred Payment mode of the customers in the account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 of the primary customer of the account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Satisfaction score given by customers of the account on service provided by company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Account_user_count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Number of customers tagged with this account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account_segment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 segmentation on the basis of spend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CC_Agent_Score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Satisfaction score given by customers of the account on customer care service provided by company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Marital_Status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Marital status of the primary customer of the account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rev_per_month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Monthly average revenue generated by account in last 12 months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Complain_l12m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complaints has been raised by account in last 12 months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rev_growth_yoy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revenue growth percentage of the account (last 12 months vs last 24 to 13 month)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coupon_used_l12m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many times customers have used coupons to do the payment in last 12 months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Day_Since_CC_connect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Number of days since no customers in the account has contacted the customer care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cashback_l12m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Monthly average cashback generated by account in last 12 months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Login_device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Preferred login device of the customers in the account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