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jc w:val="center"/>
      </w:pPr>
      <w:r>
        <w:rPr>
          <w:rFonts w:ascii="Calibri" w:hAnsi="Calibri"/>
          <w:b/>
          <w:i w:val="0"/>
          <w:color w:val="008787"/>
          <w:sz w:val="60"/>
        </w:rPr>
        <w:t>FinSight × Gemini</w:t>
      </w:r>
    </w:p>
    <w:p>
      <w:pPr>
        <w:jc w:val="center"/>
      </w:pPr>
      <w:r>
        <w:rPr>
          <w:rFonts w:ascii="Calibri" w:hAnsi="Calibri"/>
          <w:b w:val="0"/>
          <w:i w:val="0"/>
          <w:color w:val="0D1B3E"/>
          <w:sz w:val="26"/>
        </w:rPr>
        <w:t>AI-Powered Financial Analytics &amp; Unsupervised Transaction Clustering</w:t>
      </w:r>
    </w:p>
    <w:p>
      <w:pPr>
        <w:spacing w:before="0" w:after="0"/>
      </w:pPr>
    </w:p>
    <w:p>
      <w:pPr>
        <w:jc w:val="center"/>
      </w:pPr>
      <w:r>
        <w:rPr>
          <w:rFonts w:ascii="Calibri" w:hAnsi="Calibri"/>
          <w:b/>
          <w:i w:val="0"/>
          <w:color w:val="F0A500"/>
          <w:sz w:val="30"/>
        </w:rPr>
        <w:t>Technical Interview Q&amp;A — Volume 1</w:t>
      </w:r>
    </w:p>
    <w:p>
      <w:pPr>
        <w:spacing w:before="0" w:after="0"/>
      </w:pPr>
    </w:p>
    <w:p>
      <w:pPr>
        <w:pBdr>
          <w:bottom w:val="single" w:sz="6" w:space="1" w:color="008787"/>
        </w:pBdr>
        <w:spacing w:before="40" w:after="40"/>
      </w:pPr>
    </w:p>
    <w:p>
      <w:pPr>
        <w:spacing w:before="0" w:after="0"/>
      </w:pPr>
    </w:p>
    <w:p>
      <w:pPr>
        <w:jc w:val="center"/>
      </w:pPr>
      <w:r>
        <w:rPr>
          <w:rFonts w:ascii="Calibri" w:hAnsi="Calibri"/>
          <w:b/>
          <w:i w:val="0"/>
          <w:color w:val="0D1B3E"/>
          <w:sz w:val="21"/>
        </w:rPr>
        <w:t xml:space="preserve">Document: </w:t>
      </w:r>
      <w:r>
        <w:rPr>
          <w:rFonts w:ascii="Calibri" w:hAnsi="Calibri"/>
          <w:b w:val="0"/>
          <w:i w:val="0"/>
          <w:color w:val="555555"/>
          <w:sz w:val="21"/>
        </w:rPr>
        <w:t>finviz_gemini_1_interview_qna</w:t>
      </w:r>
    </w:p>
    <w:p>
      <w:pPr>
        <w:jc w:val="center"/>
      </w:pPr>
      <w:r>
        <w:rPr>
          <w:rFonts w:ascii="Calibri" w:hAnsi="Calibri"/>
          <w:b/>
          <w:i w:val="0"/>
          <w:color w:val="0D1B3E"/>
          <w:sz w:val="21"/>
        </w:rPr>
        <w:t xml:space="preserve">Scope: </w:t>
      </w:r>
      <w:r>
        <w:rPr>
          <w:rFonts w:ascii="Calibri" w:hAnsi="Calibri"/>
          <w:b w:val="0"/>
          <w:i w:val="0"/>
          <w:color w:val="555555"/>
          <w:sz w:val="21"/>
        </w:rPr>
        <w:t>Architecture · ML Pipeline · DevOps · Security · Real Challenges</w:t>
      </w:r>
    </w:p>
    <w:p>
      <w:pPr>
        <w:jc w:val="center"/>
      </w:pPr>
      <w:r>
        <w:rPr>
          <w:rFonts w:ascii="Calibri" w:hAnsi="Calibri"/>
          <w:b/>
          <w:i w:val="0"/>
          <w:color w:val="0D1B3E"/>
          <w:sz w:val="21"/>
        </w:rPr>
        <w:t xml:space="preserve">Level: </w:t>
      </w:r>
      <w:r>
        <w:rPr>
          <w:rFonts w:ascii="Calibri" w:hAnsi="Calibri"/>
          <w:b w:val="0"/>
          <w:i w:val="0"/>
          <w:color w:val="555555"/>
          <w:sz w:val="21"/>
        </w:rPr>
        <w:t>Principal / Senior Engineer Interview Preparation</w:t>
      </w:r>
    </w:p>
    <w:p>
      <w:pPr>
        <w:jc w:val="center"/>
      </w:pPr>
      <w:r>
        <w:rPr>
          <w:rFonts w:ascii="Calibri" w:hAnsi="Calibri"/>
          <w:b/>
          <w:i w:val="0"/>
          <w:color w:val="0D1B3E"/>
          <w:sz w:val="21"/>
        </w:rPr>
        <w:t xml:space="preserve">Stack: </w:t>
      </w:r>
      <w:r>
        <w:rPr>
          <w:rFonts w:ascii="Calibri" w:hAnsi="Calibri"/>
          <w:b w:val="0"/>
          <w:i w:val="0"/>
          <w:color w:val="555555"/>
          <w:sz w:val="21"/>
        </w:rPr>
        <w:t>FastAPI · SBERT · pgvector · React · Supabase · Render · Vercel</w:t>
      </w:r>
    </w:p>
    <w:p>
      <w:pPr>
        <w:spacing w:before="0" w:after="0"/>
      </w:pPr>
    </w:p>
    <w:p>
      <w:pPr>
        <w:spacing w:before="0" w:after="0"/>
      </w:pP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PART 0 — CONCEPT PRIMER  (Read Before the Q&amp;A)</w:t>
      </w:r>
    </w:p>
    <w:p>
      <w:pPr>
        <w:spacing w:before="0" w:after="0"/>
      </w:pPr>
    </w:p>
    <w:p>
      <w:r>
        <w:rPr>
          <w:rFonts w:ascii="Calibri" w:hAnsi="Calibri"/>
          <w:b w:val="0"/>
          <w:i/>
          <w:color w:val="555555"/>
          <w:sz w:val="21"/>
        </w:rPr>
        <w:t>The nine concepts below are the foundational building blocks of the FinSight stack. They are presented in learning order so that the interview answers that follow make complete sense from first principles.</w:t>
      </w:r>
    </w:p>
    <w:p>
      <w:pPr>
        <w:spacing w:before="0" w:after="0"/>
      </w:pPr>
    </w:p>
    <w:p>
      <w:pPr>
        <w:spacing w:before="120" w:after="0"/>
        <w:shd w:val="clear" w:color="auto" w:fill="008787"/>
      </w:pPr>
      <w:r>
        <w:rPr>
          <w:rFonts w:ascii="Calibri" w:hAnsi="Calibri"/>
          <w:b/>
          <w:i w:val="0"/>
          <w:color w:val="FFFFFF"/>
          <w:sz w:val="22"/>
        </w:rPr>
        <w:t xml:space="preserve">  1 · Redis — The In-Memory Data Store</w:t>
      </w:r>
    </w:p>
    <w:p>
      <w:pPr>
        <w:spacing w:before="0" w:after="0"/>
        <w:ind w:left="227"/>
        <w:shd w:val="clear" w:color="auto" w:fill="F4F7FB"/>
      </w:pPr>
      <w:r>
        <w:rPr>
          <w:rFonts w:ascii="Calibri" w:hAnsi="Calibri"/>
          <w:b/>
          <w:i w:val="0"/>
          <w:color w:val="0D1B3E"/>
          <w:sz w:val="20"/>
        </w:rPr>
        <w:t xml:space="preserve">What it is: </w:t>
      </w:r>
      <w:r>
        <w:rPr>
          <w:rFonts w:ascii="Calibri" w:hAnsi="Calibri"/>
          <w:b w:val="0"/>
          <w:i w:val="0"/>
          <w:color w:val="2E2E2E"/>
          <w:sz w:val="20"/>
        </w:rPr>
        <w:t>Redis (Remote Dictionary Server) is an open-source, in-memory key-value store that operates entirely in RAM, making reads and writes orders of magnitude faster than disk-based databases.</w:t>
      </w:r>
    </w:p>
    <w:p>
      <w:pPr>
        <w:spacing w:before="0" w:after="0"/>
        <w:ind w:left="227"/>
        <w:shd w:val="clear" w:color="auto" w:fill="F4F7FB"/>
      </w:pPr>
      <w:r>
        <w:rPr>
          <w:rFonts w:ascii="Calibri" w:hAnsi="Calibri"/>
          <w:b/>
          <w:i w:val="0"/>
          <w:color w:val="0D1B3E"/>
          <w:sz w:val="20"/>
        </w:rPr>
        <w:t xml:space="preserve">Core data structures: </w:t>
      </w:r>
      <w:r>
        <w:rPr>
          <w:rFonts w:ascii="Calibri" w:hAnsi="Calibri"/>
          <w:b w:val="0"/>
          <w:i w:val="0"/>
          <w:color w:val="2E2E2E"/>
          <w:sz w:val="20"/>
        </w:rPr>
        <w:t>Strings, Lists, Sets, Sorted Sets, Hashes, Streams.</w:t>
      </w:r>
    </w:p>
    <w:p>
      <w:pPr>
        <w:spacing w:before="0" w:after="0"/>
        <w:ind w:left="227"/>
        <w:shd w:val="clear" w:color="auto" w:fill="F4F7FB"/>
      </w:pPr>
      <w:r>
        <w:rPr>
          <w:rFonts w:ascii="Calibri" w:hAnsi="Calibri"/>
          <w:b/>
          <w:i w:val="0"/>
          <w:color w:val="0D1B3E"/>
          <w:sz w:val="20"/>
        </w:rPr>
        <w:t xml:space="preserve">Why "in-memory" matters: </w:t>
      </w:r>
      <w:r>
        <w:rPr>
          <w:rFonts w:ascii="Calibri" w:hAnsi="Calibri"/>
          <w:b w:val="0"/>
          <w:i w:val="0"/>
          <w:color w:val="2E2E2E"/>
          <w:sz w:val="20"/>
        </w:rPr>
        <w:t>A Postgres query might take 5-50 ms due to disk I/O. The same lookup in Redis takes &lt; 1 ms because the entire dataset lives in RAM.</w:t>
      </w:r>
    </w:p>
    <w:p>
      <w:pPr>
        <w:spacing w:before="0" w:after="0"/>
        <w:ind w:left="227"/>
        <w:shd w:val="clear" w:color="auto" w:fill="F4F7FB"/>
      </w:pPr>
      <w:r>
        <w:rPr>
          <w:rFonts w:ascii="Calibri" w:hAnsi="Calibri"/>
          <w:b/>
          <w:i w:val="0"/>
          <w:color w:val="0D1B3E"/>
          <w:sz w:val="20"/>
        </w:rPr>
        <w:t xml:space="preserve">Persistence: </w:t>
      </w:r>
      <w:r>
        <w:rPr>
          <w:rFonts w:ascii="Calibri" w:hAnsi="Calibri"/>
          <w:b w:val="0"/>
          <w:i w:val="0"/>
          <w:color w:val="2E2E2E"/>
          <w:sz w:val="20"/>
        </w:rPr>
        <w:t>Redis can optionally snapshot data to disk (RDB) or log every write (AOF) — not purely ephemeral, but its primary design goal is speed, not durability.</w:t>
      </w:r>
    </w:p>
    <w:p>
      <w:pPr>
        <w:spacing w:before="0" w:after="0"/>
        <w:ind w:left="227"/>
        <w:shd w:val="clear" w:color="auto" w:fill="F4F7FB"/>
      </w:pPr>
      <w:r>
        <w:rPr>
          <w:rFonts w:ascii="Calibri" w:hAnsi="Calibri"/>
          <w:b/>
          <w:i w:val="0"/>
          <w:color w:val="0D1B3E"/>
          <w:sz w:val="20"/>
        </w:rPr>
        <w:t xml:space="preserve">FinSight use: </w:t>
      </w:r>
      <w:r>
        <w:rPr>
          <w:rFonts w:ascii="Calibri" w:hAnsi="Calibri"/>
          <w:b w:val="0"/>
          <w:i w:val="0"/>
          <w:color w:val="2E2E2E"/>
          <w:sz w:val="20"/>
        </w:rPr>
        <w:t>Acts as the message broker for Celery (upgrade path) and as an optional cache for repeat transaction embeddings on the /predict hot path.</w:t>
      </w:r>
    </w:p>
    <w:p>
      <w:pPr>
        <w:spacing w:before="0" w:after="0"/>
        <w:ind w:left="227"/>
        <w:shd w:val="clear" w:color="auto" w:fill="F4F7FB"/>
      </w:pPr>
      <w:r>
        <w:rPr>
          <w:rFonts w:ascii="Calibri" w:hAnsi="Calibri"/>
          <w:b/>
          <w:i w:val="0"/>
          <w:color w:val="0D1B3E"/>
          <w:sz w:val="20"/>
        </w:rPr>
        <w:t xml:space="preserve">Analogy: </w:t>
      </w:r>
      <w:r>
        <w:rPr>
          <w:rFonts w:ascii="Calibri" w:hAnsi="Calibri"/>
          <w:b w:val="0"/>
          <w:i w:val="0"/>
          <w:color w:val="2E2E2E"/>
          <w:sz w:val="20"/>
        </w:rPr>
        <w:t>Redis is the whiteboard in a meeting room — fast to read and write, but you would not store your company financials there permanently.</w:t>
      </w:r>
    </w:p>
    <w:p>
      <w:pPr>
        <w:spacing w:before="0" w:after="0"/>
      </w:pPr>
    </w:p>
    <w:p>
      <w:pPr>
        <w:spacing w:before="120" w:after="0"/>
        <w:shd w:val="clear" w:color="auto" w:fill="008787"/>
      </w:pPr>
      <w:r>
        <w:rPr>
          <w:rFonts w:ascii="Calibri" w:hAnsi="Calibri"/>
          <w:b/>
          <w:i w:val="0"/>
          <w:color w:val="FFFFFF"/>
          <w:sz w:val="22"/>
        </w:rPr>
        <w:t xml:space="preserve">  2 · Celery — The Distributed Task Queue</w:t>
      </w:r>
    </w:p>
    <w:p>
      <w:pPr>
        <w:spacing w:before="0" w:after="0"/>
        <w:ind w:left="227"/>
        <w:shd w:val="clear" w:color="auto" w:fill="F4F7FB"/>
      </w:pPr>
      <w:r>
        <w:rPr>
          <w:rFonts w:ascii="Calibri" w:hAnsi="Calibri"/>
          <w:b/>
          <w:i w:val="0"/>
          <w:color w:val="0D1B3E"/>
          <w:sz w:val="20"/>
        </w:rPr>
        <w:t xml:space="preserve">What it is: </w:t>
      </w:r>
      <w:r>
        <w:rPr>
          <w:rFonts w:ascii="Calibri" w:hAnsi="Calibri"/>
          <w:b w:val="0"/>
          <w:i w:val="0"/>
          <w:color w:val="2E2E2E"/>
          <w:sz w:val="20"/>
        </w:rPr>
        <w:t>Celery is a Python library that lets you define "tasks" — ordinary Python functions — and execute them asynchronously, outside the web request/response cycle.</w:t>
      </w:r>
    </w:p>
    <w:p>
      <w:pPr>
        <w:spacing w:before="0" w:after="0"/>
        <w:ind w:left="227"/>
        <w:shd w:val="clear" w:color="auto" w:fill="F4F7FB"/>
      </w:pPr>
      <w:r>
        <w:rPr>
          <w:rFonts w:ascii="Calibri" w:hAnsi="Calibri"/>
          <w:b/>
          <w:i w:val="0"/>
          <w:color w:val="0D1B3E"/>
          <w:sz w:val="20"/>
        </w:rPr>
        <w:t xml:space="preserve">Why it exists: </w:t>
      </w:r>
      <w:r>
        <w:rPr>
          <w:rFonts w:ascii="Calibri" w:hAnsi="Calibri"/>
          <w:b w:val="0"/>
          <w:i w:val="0"/>
          <w:color w:val="2E2E2E"/>
          <w:sz w:val="20"/>
        </w:rPr>
        <w:t>A web server must respond quickly (&lt; 2 s). Some work — running ML models, generating reports — takes minutes. Celery offloads that work so the web server stays free.</w:t>
      </w:r>
    </w:p>
    <w:p>
      <w:pPr>
        <w:spacing w:before="0" w:after="0"/>
        <w:ind w:left="227"/>
        <w:shd w:val="clear" w:color="auto" w:fill="F4F7FB"/>
      </w:pPr>
      <w:r>
        <w:rPr>
          <w:rFonts w:ascii="Calibri" w:hAnsi="Calibri"/>
          <w:b/>
          <w:i w:val="0"/>
          <w:color w:val="0D1B3E"/>
          <w:sz w:val="20"/>
        </w:rPr>
        <w:t xml:space="preserve">Architecture flow: </w:t>
      </w:r>
      <w:r>
        <w:rPr>
          <w:rFonts w:ascii="Calibri" w:hAnsi="Calibri"/>
          <w:b w:val="0"/>
          <w:i w:val="0"/>
          <w:color w:val="2E2E2E"/>
          <w:sz w:val="20"/>
        </w:rPr>
        <w:t>Producer (web app) pushes task to Broker (Redis) —&gt; Consumer (Celery Worker) picks it up and executes it.</w:t>
      </w:r>
    </w:p>
    <w:p>
      <w:pPr>
        <w:spacing w:before="0" w:after="0"/>
        <w:ind w:left="227"/>
        <w:shd w:val="clear" w:color="auto" w:fill="F4F7FB"/>
      </w:pPr>
      <w:r>
        <w:rPr>
          <w:rFonts w:ascii="Calibri" w:hAnsi="Calibri"/>
          <w:b/>
          <w:i w:val="0"/>
          <w:color w:val="0D1B3E"/>
          <w:sz w:val="20"/>
        </w:rPr>
        <w:t xml:space="preserve">Key concepts: </w:t>
      </w:r>
      <w:r>
        <w:rPr>
          <w:rFonts w:ascii="Calibri" w:hAnsi="Calibri"/>
          <w:b w:val="0"/>
          <w:i w:val="0"/>
          <w:color w:val="2E2E2E"/>
          <w:sz w:val="20"/>
        </w:rPr>
        <w:t>@app.task decorator, .delay() / .apply_async() to enqueue, task states (PENDING → STARTED → SUCCESS/FAILURE), retry with exponential back-off.</w:t>
      </w:r>
    </w:p>
    <w:p>
      <w:pPr>
        <w:spacing w:before="0" w:after="0"/>
        <w:ind w:left="227"/>
        <w:shd w:val="clear" w:color="auto" w:fill="F4F7FB"/>
      </w:pPr>
      <w:r>
        <w:rPr>
          <w:rFonts w:ascii="Calibri" w:hAnsi="Calibri"/>
          <w:b/>
          <w:i w:val="0"/>
          <w:color w:val="0D1B3E"/>
          <w:sz w:val="20"/>
        </w:rPr>
        <w:t xml:space="preserve">FinSight relevance: </w:t>
      </w:r>
      <w:r>
        <w:rPr>
          <w:rFonts w:ascii="Calibri" w:hAnsi="Calibri"/>
          <w:b w:val="0"/>
          <w:i w:val="0"/>
          <w:color w:val="2E2E2E"/>
          <w:sz w:val="20"/>
        </w:rPr>
        <w:t>The Elbow + KMeans job is too slow for a synchronous HTTP request. In our v1.1 upgrade, we swap BackgroundTasks for Celery so the queue is durable and retryable.</w:t>
      </w:r>
    </w:p>
    <w:p>
      <w:pPr>
        <w:spacing w:before="0" w:after="0"/>
      </w:pPr>
    </w:p>
    <w:p>
      <w:pPr>
        <w:spacing w:before="120" w:after="0"/>
        <w:shd w:val="clear" w:color="auto" w:fill="008787"/>
      </w:pPr>
      <w:r>
        <w:rPr>
          <w:rFonts w:ascii="Calibri" w:hAnsi="Calibri"/>
          <w:b/>
          <w:i w:val="0"/>
          <w:color w:val="FFFFFF"/>
          <w:sz w:val="22"/>
        </w:rPr>
        <w:t xml:space="preserve">  3 · Celery + Redis — How They Work Together</w:t>
      </w:r>
    </w:p>
    <w:p>
      <w:pPr>
        <w:spacing w:before="0" w:after="0"/>
        <w:ind w:left="227"/>
        <w:shd w:val="clear" w:color="auto" w:fill="F4F7FB"/>
      </w:pPr>
      <w:r>
        <w:rPr>
          <w:rFonts w:ascii="Calibri" w:hAnsi="Calibri"/>
          <w:b/>
          <w:i w:val="0"/>
          <w:color w:val="0D1B3E"/>
          <w:sz w:val="20"/>
        </w:rPr>
        <w:t xml:space="preserve">Redis dual role in Celery: </w:t>
      </w:r>
      <w:r>
        <w:rPr>
          <w:rFonts w:ascii="Calibri" w:hAnsi="Calibri"/>
          <w:b w:val="0"/>
          <w:i w:val="0"/>
          <w:color w:val="2E2E2E"/>
          <w:sz w:val="20"/>
        </w:rPr>
        <w:t>Broker (stores the queue of pending task messages) AND Result Backend (stores return values / status of completed tasks).</w:t>
      </w:r>
    </w:p>
    <w:p>
      <w:pPr>
        <w:spacing w:before="0" w:after="0"/>
        <w:ind w:left="227"/>
        <w:shd w:val="clear" w:color="auto" w:fill="F4F7FB"/>
      </w:pPr>
      <w:r>
        <w:rPr>
          <w:rFonts w:ascii="Calibri" w:hAnsi="Calibri"/>
          <w:b/>
          <w:i w:val="0"/>
          <w:color w:val="0D1B3E"/>
          <w:sz w:val="20"/>
        </w:rPr>
        <w:t xml:space="preserve">Data flow: </w:t>
      </w:r>
      <w:r>
        <w:rPr>
          <w:rFonts w:ascii="Calibri" w:hAnsi="Calibri"/>
          <w:b w:val="0"/>
          <w:i w:val="0"/>
          <w:color w:val="2E2E2E"/>
          <w:sz w:val="20"/>
        </w:rPr>
        <w:t>FastAPI calls task.delay(args) → Celery serialises to JSON → pushes into a Redis List → worker BLPOP-blocks on that List → picks up task → executes → writes result back to Redis with TTL.</w:t>
      </w:r>
    </w:p>
    <w:p>
      <w:pPr>
        <w:spacing w:before="0" w:after="0"/>
        <w:ind w:left="227"/>
        <w:shd w:val="clear" w:color="auto" w:fill="F4F7FB"/>
      </w:pPr>
      <w:r>
        <w:rPr>
          <w:rFonts w:ascii="Calibri" w:hAnsi="Calibri"/>
          <w:b/>
          <w:i w:val="0"/>
          <w:color w:val="0D1B3E"/>
          <w:sz w:val="20"/>
        </w:rPr>
        <w:t xml:space="preserve">Why Redis over RabbitMQ at our scale: </w:t>
      </w:r>
      <w:r>
        <w:rPr>
          <w:rFonts w:ascii="Calibri" w:hAnsi="Calibri"/>
          <w:b w:val="0"/>
          <w:i w:val="0"/>
          <w:color w:val="2E2E2E"/>
          <w:sz w:val="20"/>
        </w:rPr>
        <w:t>Redis requires zero additional infrastructure (already used for caching). RabbitMQ adds exchanges, bindings, and AMQP protocol overhead only justified at very high throughput.</w:t>
      </w:r>
    </w:p>
    <w:p>
      <w:pPr>
        <w:spacing w:before="0" w:after="0"/>
        <w:ind w:left="227"/>
        <w:shd w:val="clear" w:color="auto" w:fill="F4F7FB"/>
      </w:pPr>
      <w:r>
        <w:rPr>
          <w:rFonts w:ascii="Calibri" w:hAnsi="Calibri"/>
          <w:b/>
          <w:i w:val="0"/>
          <w:color w:val="0D1B3E"/>
          <w:sz w:val="20"/>
        </w:rPr>
        <w:t xml:space="preserve">FinSight config (upgrade path): </w:t>
      </w:r>
      <w:r>
        <w:rPr>
          <w:rFonts w:ascii="Calibri" w:hAnsi="Calibri"/>
          <w:b w:val="0"/>
          <w:i w:val="0"/>
          <w:color w:val="2E2E2E"/>
          <w:sz w:val="20"/>
        </w:rPr>
        <w:t>CELERY_BROKER_URL = "redis://upstash-host:6379/0" and CELERY_RESULT_BACKEND = "redis://upstash-host:6379/1".</w:t>
      </w:r>
    </w:p>
    <w:p>
      <w:pPr>
        <w:spacing w:before="0" w:after="0"/>
        <w:ind w:left="227"/>
        <w:shd w:val="clear" w:color="auto" w:fill="F4F7FB"/>
      </w:pPr>
      <w:r>
        <w:rPr>
          <w:rFonts w:ascii="Calibri" w:hAnsi="Calibri"/>
          <w:b/>
          <w:i w:val="0"/>
          <w:color w:val="0D1B3E"/>
          <w:sz w:val="20"/>
        </w:rPr>
        <w:t xml:space="preserve">Free tier note: </w:t>
      </w:r>
      <w:r>
        <w:rPr>
          <w:rFonts w:ascii="Calibri" w:hAnsi="Calibri"/>
          <w:b w:val="0"/>
          <w:i w:val="0"/>
          <w:color w:val="2E2E2E"/>
          <w:sz w:val="20"/>
        </w:rPr>
        <w:t>Upstash provides serverless Redis with 10k commands/day free — sufficient for our job volume at hundreds-of-users scale.</w:t>
      </w:r>
    </w:p>
    <w:p>
      <w:pPr>
        <w:spacing w:before="0" w:after="0"/>
      </w:pPr>
    </w:p>
    <w:p>
      <w:pPr>
        <w:spacing w:before="120" w:after="0"/>
        <w:shd w:val="clear" w:color="auto" w:fill="008787"/>
      </w:pPr>
      <w:r>
        <w:rPr>
          <w:rFonts w:ascii="Calibri" w:hAnsi="Calibri"/>
          <w:b/>
          <w:i w:val="0"/>
          <w:color w:val="FFFFFF"/>
          <w:sz w:val="22"/>
        </w:rPr>
        <w:t xml:space="preserve">  4 · @lru_cache — Lazy Singleton Pattern in Python</w:t>
      </w:r>
    </w:p>
    <w:p>
      <w:pPr>
        <w:spacing w:before="0" w:after="0"/>
        <w:ind w:left="227"/>
        <w:shd w:val="clear" w:color="auto" w:fill="F4F7FB"/>
      </w:pPr>
      <w:r>
        <w:rPr>
          <w:rFonts w:ascii="Calibri" w:hAnsi="Calibri"/>
          <w:b/>
          <w:i w:val="0"/>
          <w:color w:val="0D1B3E"/>
          <w:sz w:val="20"/>
        </w:rPr>
        <w:t xml:space="preserve">What LRU means: </w:t>
      </w:r>
      <w:r>
        <w:rPr>
          <w:rFonts w:ascii="Calibri" w:hAnsi="Calibri"/>
          <w:b w:val="0"/>
          <w:i w:val="0"/>
          <w:color w:val="2E2E2E"/>
          <w:sz w:val="20"/>
        </w:rPr>
        <w:t>Least Recently Used — a cache eviction strategy. When the cache is full, the least recently accessed item is removed.</w:t>
      </w:r>
    </w:p>
    <w:p>
      <w:pPr>
        <w:spacing w:before="0" w:after="0"/>
        <w:ind w:left="227"/>
        <w:shd w:val="clear" w:color="auto" w:fill="F4F7FB"/>
      </w:pPr>
      <w:r>
        <w:rPr>
          <w:rFonts w:ascii="Calibri" w:hAnsi="Calibri"/>
          <w:b/>
          <w:i w:val="0"/>
          <w:color w:val="0D1B3E"/>
          <w:sz w:val="20"/>
        </w:rPr>
        <w:t xml:space="preserve">What @lru_cache does: </w:t>
      </w:r>
      <w:r>
        <w:rPr>
          <w:rFonts w:ascii="Calibri" w:hAnsi="Calibri"/>
          <w:b w:val="0"/>
          <w:i w:val="0"/>
          <w:color w:val="2E2E2E"/>
          <w:sz w:val="20"/>
        </w:rPr>
        <w:t>A decorator from Python's functools module that memoises the return value of a function based on its arguments. For the same arguments, the function body runs only once — ever.</w:t>
      </w:r>
    </w:p>
    <w:p>
      <w:pPr>
        <w:spacing w:before="0" w:after="0"/>
        <w:ind w:left="227"/>
        <w:shd w:val="clear" w:color="auto" w:fill="F4F7FB"/>
      </w:pPr>
      <w:r>
        <w:rPr>
          <w:rFonts w:ascii="Calibri" w:hAnsi="Calibri"/>
          <w:b/>
          <w:i w:val="0"/>
          <w:color w:val="0D1B3E"/>
          <w:sz w:val="20"/>
        </w:rPr>
        <w:t xml:space="preserve">Why we used it: </w:t>
      </w:r>
      <w:r>
        <w:rPr>
          <w:rFonts w:ascii="Calibri" w:hAnsi="Calibri"/>
          <w:b w:val="0"/>
          <w:i w:val="0"/>
          <w:color w:val="2E2E2E"/>
          <w:sz w:val="20"/>
        </w:rPr>
        <w:t>The Supabase client and SBERT model are expensive to initialise. We do NOT want them created at module import time (breaks tests). We DO want them created exactly once on first use and reused forever.</w:t>
      </w:r>
    </w:p>
    <w:p>
      <w:pPr>
        <w:spacing w:before="0" w:after="0"/>
        <w:ind w:left="227"/>
        <w:shd w:val="clear" w:color="auto" w:fill="F4F7FB"/>
      </w:pPr>
      <w:r>
        <w:rPr>
          <w:rFonts w:ascii="Calibri" w:hAnsi="Calibri"/>
          <w:b/>
          <w:i w:val="0"/>
          <w:color w:val="0D1B3E"/>
          <w:sz w:val="20"/>
        </w:rPr>
        <w:t xml:space="preserve">Pattern: </w:t>
      </w:r>
      <w:r>
        <w:rPr>
          <w:rFonts w:ascii="Calibri" w:hAnsi="Calibri"/>
          <w:b w:val="0"/>
          <w:i w:val="0"/>
          <w:color w:val="2E2E2E"/>
          <w:sz w:val="20"/>
        </w:rPr>
        <w:t>@lru_cache on get_supabase_client() → create_client(URL, KEY) runs once, result cached for the process lifetime.</w:t>
      </w:r>
    </w:p>
    <w:p>
      <w:pPr>
        <w:spacing w:before="0" w:after="0"/>
        <w:ind w:left="227"/>
        <w:shd w:val="clear" w:color="auto" w:fill="F4F7FB"/>
      </w:pPr>
      <w:r>
        <w:rPr>
          <w:rFonts w:ascii="Calibri" w:hAnsi="Calibri"/>
          <w:b/>
          <w:i w:val="0"/>
          <w:color w:val="0D1B3E"/>
          <w:sz w:val="20"/>
        </w:rPr>
        <w:t xml:space="preserve">Thread safety: </w:t>
      </w:r>
      <w:r>
        <w:rPr>
          <w:rFonts w:ascii="Calibri" w:hAnsi="Calibri"/>
          <w:b w:val="0"/>
          <w:i w:val="0"/>
          <w:color w:val="2E2E2E"/>
          <w:sz w:val="20"/>
        </w:rPr>
        <w:t>In CPython, @lru_cache is thread-safe due to the GIL. Safe for FastAPI's async/threaded request handling.</w:t>
      </w:r>
    </w:p>
    <w:p>
      <w:pPr>
        <w:spacing w:before="0" w:after="0"/>
      </w:pPr>
    </w:p>
    <w:p>
      <w:pPr>
        <w:spacing w:before="120" w:after="0"/>
        <w:shd w:val="clear" w:color="auto" w:fill="008787"/>
      </w:pPr>
      <w:r>
        <w:rPr>
          <w:rFonts w:ascii="Calibri" w:hAnsi="Calibri"/>
          <w:b/>
          <w:i w:val="0"/>
          <w:color w:val="FFFFFF"/>
          <w:sz w:val="22"/>
        </w:rPr>
        <w:t xml:space="preserve">  5 · PII — Personally Identifiable Financial Information</w:t>
      </w:r>
    </w:p>
    <w:p>
      <w:pPr>
        <w:spacing w:before="0" w:after="0"/>
        <w:ind w:left="227"/>
        <w:shd w:val="clear" w:color="auto" w:fill="F4F7FB"/>
      </w:pPr>
      <w:r>
        <w:rPr>
          <w:rFonts w:ascii="Calibri" w:hAnsi="Calibri"/>
          <w:b/>
          <w:i w:val="0"/>
          <w:color w:val="0D1B3E"/>
          <w:sz w:val="20"/>
        </w:rPr>
        <w:t xml:space="preserve">Definition: </w:t>
      </w:r>
      <w:r>
        <w:rPr>
          <w:rFonts w:ascii="Calibri" w:hAnsi="Calibri"/>
          <w:b w:val="0"/>
          <w:i w:val="0"/>
          <w:color w:val="2E2E2E"/>
          <w:sz w:val="20"/>
        </w:rPr>
        <w:t>Any data that can identify a specific individual — card numbers, account numbers, IBANs, sort codes, SSNs, transaction reference IDs.</w:t>
      </w:r>
    </w:p>
    <w:p>
      <w:pPr>
        <w:spacing w:before="0" w:after="0"/>
        <w:ind w:left="227"/>
        <w:shd w:val="clear" w:color="auto" w:fill="F4F7FB"/>
      </w:pPr>
      <w:r>
        <w:rPr>
          <w:rFonts w:ascii="Calibri" w:hAnsi="Calibri"/>
          <w:b/>
          <w:i w:val="0"/>
          <w:color w:val="0D1B3E"/>
          <w:sz w:val="20"/>
        </w:rPr>
        <w:t xml:space="preserve">Why it matters legally: </w:t>
      </w:r>
      <w:r>
        <w:rPr>
          <w:rFonts w:ascii="Calibri" w:hAnsi="Calibri"/>
          <w:b w:val="0"/>
          <w:i w:val="0"/>
          <w:color w:val="2E2E2E"/>
          <w:sz w:val="20"/>
        </w:rPr>
        <w:t>GDPR (EU), CCPA (California), PCI-DSS (card data) impose strict rules. Violations carry fines up to 4% of global annual revenue under GDPR.</w:t>
      </w:r>
    </w:p>
    <w:p>
      <w:pPr>
        <w:spacing w:before="0" w:after="0"/>
        <w:ind w:left="227"/>
        <w:shd w:val="clear" w:color="auto" w:fill="F4F7FB"/>
      </w:pPr>
      <w:r>
        <w:rPr>
          <w:rFonts w:ascii="Calibri" w:hAnsi="Calibri"/>
          <w:b/>
          <w:i w:val="0"/>
          <w:color w:val="0D1B3E"/>
          <w:sz w:val="20"/>
        </w:rPr>
        <w:t xml:space="preserve">FinSight Layer 1: </w:t>
      </w:r>
      <w:r>
        <w:rPr>
          <w:rFonts w:ascii="Calibri" w:hAnsi="Calibri"/>
          <w:b w:val="0"/>
          <w:i w:val="0"/>
          <w:color w:val="2E2E2E"/>
          <w:sz w:val="20"/>
        </w:rPr>
        <w:t>Regex scrubber strips PII BEFORE any DB write or ML call. Patterns: card numbers (12-19 digits), IBAN-like strings, SSN-like patterns.</w:t>
      </w:r>
    </w:p>
    <w:p>
      <w:pPr>
        <w:spacing w:before="0" w:after="0"/>
        <w:ind w:left="227"/>
        <w:shd w:val="clear" w:color="auto" w:fill="F4F7FB"/>
      </w:pPr>
      <w:r>
        <w:rPr>
          <w:rFonts w:ascii="Calibri" w:hAnsi="Calibri"/>
          <w:b/>
          <w:i w:val="0"/>
          <w:color w:val="0D1B3E"/>
          <w:sz w:val="20"/>
        </w:rPr>
        <w:t xml:space="preserve">FinSight Layer 2: </w:t>
      </w:r>
      <w:r>
        <w:rPr>
          <w:rFonts w:ascii="Calibri" w:hAnsi="Calibri"/>
          <w:b w:val="0"/>
          <w:i w:val="0"/>
          <w:color w:val="2E2E2E"/>
          <w:sz w:val="20"/>
        </w:rPr>
        <w:t>Raw description stored only as AES-256 encrypted BYTEA (pgcrypto) — for audit purposes only.</w:t>
      </w:r>
    </w:p>
    <w:p>
      <w:pPr>
        <w:spacing w:before="0" w:after="0"/>
        <w:ind w:left="227"/>
        <w:shd w:val="clear" w:color="auto" w:fill="F4F7FB"/>
      </w:pPr>
      <w:r>
        <w:rPr>
          <w:rFonts w:ascii="Calibri" w:hAnsi="Calibri"/>
          <w:b/>
          <w:i w:val="0"/>
          <w:color w:val="0D1B3E"/>
          <w:sz w:val="20"/>
        </w:rPr>
        <w:t xml:space="preserve">FinSight Layer 3: </w:t>
      </w:r>
      <w:r>
        <w:rPr>
          <w:rFonts w:ascii="Calibri" w:hAnsi="Calibri"/>
          <w:b w:val="0"/>
          <w:i w:val="0"/>
          <w:color w:val="2E2E2E"/>
          <w:sz w:val="20"/>
        </w:rPr>
        <w:t>Raw uploaded files auto-purged from Supabase Storage 48 hours after upload.</w:t>
      </w:r>
    </w:p>
    <w:p>
      <w:pPr>
        <w:spacing w:before="0" w:after="0"/>
        <w:ind w:left="227"/>
        <w:shd w:val="clear" w:color="auto" w:fill="F4F7FB"/>
      </w:pPr>
      <w:r>
        <w:rPr>
          <w:rFonts w:ascii="Calibri" w:hAnsi="Calibri"/>
          <w:b/>
          <w:i w:val="0"/>
          <w:color w:val="0D1B3E"/>
          <w:sz w:val="20"/>
        </w:rPr>
        <w:t xml:space="preserve">FinSight Layer 4: </w:t>
      </w:r>
      <w:r>
        <w:rPr>
          <w:rFonts w:ascii="Calibri" w:hAnsi="Calibri"/>
          <w:b w:val="0"/>
          <w:i w:val="0"/>
          <w:color w:val="2E2E2E"/>
          <w:sz w:val="20"/>
        </w:rPr>
        <w:t>Append-only audit_logs table records every data access event without logging raw content.</w:t>
      </w:r>
    </w:p>
    <w:p>
      <w:pPr>
        <w:spacing w:before="0" w:after="0"/>
        <w:ind w:left="227"/>
        <w:shd w:val="clear" w:color="auto" w:fill="F4F7FB"/>
      </w:pPr>
      <w:r>
        <w:rPr>
          <w:rFonts w:ascii="Calibri" w:hAnsi="Calibri"/>
          <w:b/>
          <w:i w:val="0"/>
          <w:color w:val="0D1B3E"/>
          <w:sz w:val="20"/>
        </w:rPr>
        <w:t xml:space="preserve">Non-retention principle: </w:t>
      </w:r>
      <w:r>
        <w:rPr>
          <w:rFonts w:ascii="Calibri" w:hAnsi="Calibri"/>
          <w:b w:val="0"/>
          <w:i w:val="0"/>
          <w:color w:val="2E2E2E"/>
          <w:sz w:val="20"/>
        </w:rPr>
        <w:t>The safest PII is PII you do not have. Process and discard; do not archive raw financial data beyond the minimum required.</w:t>
      </w:r>
    </w:p>
    <w:p>
      <w:pPr>
        <w:spacing w:before="0" w:after="0"/>
      </w:pPr>
    </w:p>
    <w:p>
      <w:pPr>
        <w:spacing w:before="120" w:after="0"/>
        <w:shd w:val="clear" w:color="auto" w:fill="008787"/>
      </w:pPr>
      <w:r>
        <w:rPr>
          <w:rFonts w:ascii="Calibri" w:hAnsi="Calibri"/>
          <w:b/>
          <w:i w:val="0"/>
          <w:color w:val="FFFFFF"/>
          <w:sz w:val="22"/>
        </w:rPr>
        <w:t xml:space="preserve">  6 · Supabase — The Open-Source Firebase Alternative</w:t>
      </w:r>
    </w:p>
    <w:p>
      <w:pPr>
        <w:spacing w:before="0" w:after="0"/>
        <w:ind w:left="227"/>
        <w:shd w:val="clear" w:color="auto" w:fill="F4F7FB"/>
      </w:pPr>
      <w:r>
        <w:rPr>
          <w:rFonts w:ascii="Calibri" w:hAnsi="Calibri"/>
          <w:b/>
          <w:i w:val="0"/>
          <w:color w:val="0D1B3E"/>
          <w:sz w:val="20"/>
        </w:rPr>
        <w:t xml:space="preserve">What it is: </w:t>
      </w:r>
      <w:r>
        <w:rPr>
          <w:rFonts w:ascii="Calibri" w:hAnsi="Calibri"/>
          <w:b w:val="0"/>
          <w:i w:val="0"/>
          <w:color w:val="2E2E2E"/>
          <w:sz w:val="20"/>
        </w:rPr>
        <w:t>A Backend-as-a-Service (BaaS) built on PostgreSQL. Provides managed Postgres, REST/GraphQL APIs, authentication, object storage, and edge functions in one platform.</w:t>
      </w:r>
    </w:p>
    <w:p>
      <w:pPr>
        <w:spacing w:before="0" w:after="0"/>
        <w:ind w:left="227"/>
        <w:shd w:val="clear" w:color="auto" w:fill="F4F7FB"/>
      </w:pPr>
      <w:r>
        <w:rPr>
          <w:rFonts w:ascii="Calibri" w:hAnsi="Calibri"/>
          <w:b/>
          <w:i w:val="0"/>
          <w:color w:val="0D1B3E"/>
          <w:sz w:val="20"/>
        </w:rPr>
        <w:t xml:space="preserve">Core components we use: </w:t>
      </w:r>
      <w:r>
        <w:rPr>
          <w:rFonts w:ascii="Calibri" w:hAnsi="Calibri"/>
          <w:b w:val="0"/>
          <w:i w:val="0"/>
          <w:color w:val="2E2E2E"/>
          <w:sz w:val="20"/>
        </w:rPr>
        <w:t>Managed PostgreSQL 15 with pgvector pre-installed, S3-compatible Storage for raw files, and PgBouncer connection pooling on port 6543.</w:t>
      </w:r>
    </w:p>
    <w:p>
      <w:pPr>
        <w:spacing w:before="0" w:after="0"/>
        <w:ind w:left="227"/>
        <w:shd w:val="clear" w:color="auto" w:fill="F4F7FB"/>
      </w:pPr>
      <w:r>
        <w:rPr>
          <w:rFonts w:ascii="Calibri" w:hAnsi="Calibri"/>
          <w:b/>
          <w:i w:val="0"/>
          <w:color w:val="0D1B3E"/>
          <w:sz w:val="20"/>
        </w:rPr>
        <w:t xml:space="preserve">Free tier: </w:t>
      </w:r>
      <w:r>
        <w:rPr>
          <w:rFonts w:ascii="Calibri" w:hAnsi="Calibri"/>
          <w:b w:val="0"/>
          <w:i w:val="0"/>
          <w:color w:val="2E2E2E"/>
          <w:sz w:val="20"/>
        </w:rPr>
        <w:t>500 MB database, 1 GB storage, unlimited API requests — genuinely free, no credit card, no 12-month expiry.</w:t>
      </w:r>
    </w:p>
    <w:p>
      <w:pPr>
        <w:spacing w:before="0" w:after="0"/>
        <w:ind w:left="227"/>
        <w:shd w:val="clear" w:color="auto" w:fill="F4F7FB"/>
      </w:pPr>
      <w:r>
        <w:rPr>
          <w:rFonts w:ascii="Calibri" w:hAnsi="Calibri"/>
          <w:b/>
          <w:i w:val="0"/>
          <w:color w:val="0D1B3E"/>
          <w:sz w:val="20"/>
        </w:rPr>
        <w:t xml:space="preserve">pgvector advantage: </w:t>
      </w:r>
      <w:r>
        <w:rPr>
          <w:rFonts w:ascii="Calibri" w:hAnsi="Calibri"/>
          <w:b w:val="0"/>
          <w:i w:val="0"/>
          <w:color w:val="2E2E2E"/>
          <w:sz w:val="20"/>
        </w:rPr>
        <w:t>CREATE EXTENSION IF NOT EXISTS vector; just works on Supabase. No additional config, IAM permissions, or instance type constraints.</w:t>
      </w:r>
    </w:p>
    <w:p>
      <w:pPr>
        <w:spacing w:before="0" w:after="0"/>
        <w:ind w:left="227"/>
        <w:shd w:val="clear" w:color="auto" w:fill="F4F7FB"/>
      </w:pPr>
      <w:r>
        <w:rPr>
          <w:rFonts w:ascii="Calibri" w:hAnsi="Calibri"/>
          <w:b/>
          <w:i w:val="0"/>
          <w:color w:val="0D1B3E"/>
          <w:sz w:val="20"/>
        </w:rPr>
        <w:t xml:space="preserve">Client usage: </w:t>
      </w:r>
      <w:r>
        <w:rPr>
          <w:rFonts w:ascii="Calibri" w:hAnsi="Calibri"/>
          <w:b w:val="0"/>
          <w:i w:val="0"/>
          <w:color w:val="2E2E2E"/>
          <w:sz w:val="20"/>
        </w:rPr>
        <w:t>supabase-py for Storage operations only. Direct DB access uses asyncpg + SQLAlchemy for full async support and type safety.</w:t>
      </w:r>
    </w:p>
    <w:p>
      <w:pPr>
        <w:spacing w:before="0" w:after="0"/>
        <w:ind w:left="227"/>
        <w:shd w:val="clear" w:color="auto" w:fill="F4F7FB"/>
      </w:pPr>
      <w:r>
        <w:rPr>
          <w:rFonts w:ascii="Calibri" w:hAnsi="Calibri"/>
          <w:b/>
          <w:i w:val="0"/>
          <w:color w:val="0D1B3E"/>
          <w:sz w:val="20"/>
        </w:rPr>
        <w:t xml:space="preserve">Upgrade path: </w:t>
      </w:r>
      <w:r>
        <w:rPr>
          <w:rFonts w:ascii="Calibri" w:hAnsi="Calibri"/>
          <w:b w:val="0"/>
          <w:i w:val="0"/>
          <w:color w:val="2E2E2E"/>
          <w:sz w:val="20"/>
        </w:rPr>
        <w:t>When moving to AWS, DATABASE_URL points to RDS with pgvector and storage moves to S3. Zero application code changes required.</w:t>
      </w:r>
    </w:p>
    <w:p>
      <w:pPr>
        <w:spacing w:before="0" w:after="0"/>
      </w:pPr>
    </w:p>
    <w:p>
      <w:pPr>
        <w:spacing w:before="120" w:after="0"/>
        <w:shd w:val="clear" w:color="auto" w:fill="008787"/>
      </w:pPr>
      <w:r>
        <w:rPr>
          <w:rFonts w:ascii="Calibri" w:hAnsi="Calibri"/>
          <w:b/>
          <w:i w:val="0"/>
          <w:color w:val="FFFFFF"/>
          <w:sz w:val="22"/>
        </w:rPr>
        <w:t xml:space="preserve">  7 · Why Not Raw PostgreSQL or MySQL Directly?</w:t>
      </w:r>
    </w:p>
    <w:p>
      <w:pPr>
        <w:spacing w:before="0" w:after="0"/>
        <w:ind w:left="227"/>
        <w:shd w:val="clear" w:color="auto" w:fill="F4F7FB"/>
      </w:pPr>
      <w:r>
        <w:rPr>
          <w:rFonts w:ascii="Calibri" w:hAnsi="Calibri"/>
          <w:b/>
          <w:i w:val="0"/>
          <w:color w:val="0D1B3E"/>
          <w:sz w:val="20"/>
        </w:rPr>
        <w:t xml:space="preserve">Reframed: </w:t>
      </w:r>
      <w:r>
        <w:rPr>
          <w:rFonts w:ascii="Calibri" w:hAnsi="Calibri"/>
          <w:b w:val="0"/>
          <w:i w:val="0"/>
          <w:color w:val="2E2E2E"/>
          <w:sz w:val="20"/>
        </w:rPr>
        <w:t>We ARE using PostgreSQL — via Supabase. The question is really: why a managed service instead of self-hosted?</w:t>
      </w:r>
    </w:p>
    <w:p>
      <w:pPr>
        <w:spacing w:before="0" w:after="0"/>
        <w:ind w:left="227"/>
        <w:shd w:val="clear" w:color="auto" w:fill="F4F7FB"/>
      </w:pPr>
      <w:r>
        <w:rPr>
          <w:rFonts w:ascii="Calibri" w:hAnsi="Calibri"/>
          <w:b/>
          <w:i w:val="0"/>
          <w:color w:val="0D1B3E"/>
          <w:sz w:val="20"/>
        </w:rPr>
        <w:t xml:space="preserve">Self-hosted Postgres requires: </w:t>
      </w:r>
      <w:r>
        <w:rPr>
          <w:rFonts w:ascii="Calibri" w:hAnsi="Calibri"/>
          <w:b w:val="0"/>
          <w:i w:val="0"/>
          <w:color w:val="2E2E2E"/>
          <w:sz w:val="20"/>
        </w:rPr>
        <w:t>manual backup configuration, manual pgvector installation, manual connection pooling (PgBouncer), manual SSL management, and a separate storage solution.</w:t>
      </w:r>
    </w:p>
    <w:p>
      <w:pPr>
        <w:spacing w:before="0" w:after="0"/>
        <w:ind w:left="227"/>
        <w:shd w:val="clear" w:color="auto" w:fill="F4F7FB"/>
      </w:pPr>
      <w:r>
        <w:rPr>
          <w:rFonts w:ascii="Calibri" w:hAnsi="Calibri"/>
          <w:b w:val="0"/>
          <w:i w:val="0"/>
          <w:color w:val="2E2E2E"/>
          <w:sz w:val="20"/>
        </w:rPr>
        <w:t>Supabase provides all of the above out of the box, managed, monitored, and backed up — at zero cost for our scale.</w:t>
      </w:r>
    </w:p>
    <w:p>
      <w:pPr>
        <w:spacing w:before="0" w:after="0"/>
        <w:ind w:left="227"/>
        <w:shd w:val="clear" w:color="auto" w:fill="F4F7FB"/>
      </w:pPr>
      <w:r>
        <w:rPr>
          <w:rFonts w:ascii="Calibri" w:hAnsi="Calibri"/>
          <w:b/>
          <w:i w:val="0"/>
          <w:color w:val="0D1B3E"/>
          <w:sz w:val="20"/>
        </w:rPr>
        <w:t xml:space="preserve">Why not MySQL: </w:t>
      </w:r>
      <w:r>
        <w:rPr>
          <w:rFonts w:ascii="Calibri" w:hAnsi="Calibri"/>
          <w:b w:val="0"/>
          <w:i w:val="0"/>
          <w:color w:val="2E2E2E"/>
          <w:sz w:val="20"/>
        </w:rPr>
        <w:t>pgvector does not exist for MySQL. Our entire /predict architecture depends on native vector similarity search. Switching to MySQL would require a completely different inference strategy.</w:t>
      </w:r>
    </w:p>
    <w:p>
      <w:pPr>
        <w:spacing w:before="0" w:after="0"/>
        <w:ind w:left="227"/>
        <w:shd w:val="clear" w:color="auto" w:fill="F4F7FB"/>
      </w:pPr>
      <w:r>
        <w:rPr>
          <w:rFonts w:ascii="Calibri" w:hAnsi="Calibri"/>
          <w:b/>
          <w:i w:val="0"/>
          <w:color w:val="0D1B3E"/>
          <w:sz w:val="20"/>
        </w:rPr>
        <w:t xml:space="preserve">The principle: </w:t>
      </w:r>
      <w:r>
        <w:rPr>
          <w:rFonts w:ascii="Calibri" w:hAnsi="Calibri"/>
          <w:b w:val="0"/>
          <w:i w:val="0"/>
          <w:color w:val="2E2E2E"/>
          <w:sz w:val="20"/>
        </w:rPr>
        <w:t>Use managed services to eliminate undifferentiated heavy lifting. We are building a financial analytics product, not a database administration service.</w:t>
      </w:r>
    </w:p>
    <w:p>
      <w:pPr>
        <w:spacing w:before="0" w:after="0"/>
      </w:pPr>
    </w:p>
    <w:p>
      <w:pPr>
        <w:spacing w:before="120" w:after="0"/>
        <w:shd w:val="clear" w:color="auto" w:fill="008787"/>
      </w:pPr>
      <w:r>
        <w:rPr>
          <w:rFonts w:ascii="Calibri" w:hAnsi="Calibri"/>
          <w:b/>
          <w:i w:val="0"/>
          <w:color w:val="FFFFFF"/>
          <w:sz w:val="22"/>
        </w:rPr>
        <w:t xml:space="preserve">  8 · SBERT — Sentence-BERT Embeddings</w:t>
      </w:r>
    </w:p>
    <w:p>
      <w:pPr>
        <w:spacing w:before="0" w:after="0"/>
        <w:ind w:left="227"/>
        <w:shd w:val="clear" w:color="auto" w:fill="F4F7FB"/>
      </w:pPr>
      <w:r>
        <w:rPr>
          <w:rFonts w:ascii="Calibri" w:hAnsi="Calibri"/>
          <w:b/>
          <w:i w:val="0"/>
          <w:color w:val="0D1B3E"/>
          <w:sz w:val="20"/>
        </w:rPr>
        <w:t xml:space="preserve">What BERT is: </w:t>
      </w:r>
      <w:r>
        <w:rPr>
          <w:rFonts w:ascii="Calibri" w:hAnsi="Calibri"/>
          <w:b w:val="0"/>
          <w:i w:val="0"/>
          <w:color w:val="2E2E2E"/>
          <w:sz w:val="20"/>
        </w:rPr>
        <w:t>Bidirectional Encoder Representations from Transformers — a transformer model pre-trained on 3.3 billion words. Understands context bidirectionally.</w:t>
      </w:r>
    </w:p>
    <w:p>
      <w:pPr>
        <w:spacing w:before="0" w:after="0"/>
        <w:ind w:left="227"/>
        <w:shd w:val="clear" w:color="auto" w:fill="F4F7FB"/>
      </w:pPr>
      <w:r>
        <w:rPr>
          <w:rFonts w:ascii="Calibri" w:hAnsi="Calibri"/>
          <w:b/>
          <w:i w:val="0"/>
          <w:color w:val="0D1B3E"/>
          <w:sz w:val="20"/>
        </w:rPr>
        <w:t xml:space="preserve">What SBERT adds: </w:t>
      </w:r>
      <w:r>
        <w:rPr>
          <w:rFonts w:ascii="Calibri" w:hAnsi="Calibri"/>
          <w:b w:val="0"/>
          <w:i w:val="0"/>
          <w:color w:val="2E2E2E"/>
          <w:sz w:val="20"/>
        </w:rPr>
        <w:t>Fine-tunes BERT with a siamese network so semantically similar sentences produce geometrically close vector embeddings — enabling sentence similarity search.</w:t>
      </w:r>
    </w:p>
    <w:p>
      <w:pPr>
        <w:spacing w:before="0" w:after="0"/>
        <w:ind w:left="227"/>
        <w:shd w:val="clear" w:color="auto" w:fill="F4F7FB"/>
      </w:pPr>
      <w:r>
        <w:rPr>
          <w:rFonts w:ascii="Calibri" w:hAnsi="Calibri"/>
          <w:b/>
          <w:i w:val="0"/>
          <w:color w:val="0D1B3E"/>
          <w:sz w:val="20"/>
        </w:rPr>
        <w:t xml:space="preserve">all-MiniLM-L6-v2 specifically: </w:t>
      </w:r>
      <w:r>
        <w:rPr>
          <w:rFonts w:ascii="Calibri" w:hAnsi="Calibri"/>
          <w:b w:val="0"/>
          <w:i w:val="0"/>
          <w:color w:val="2E2E2E"/>
          <w:sz w:val="20"/>
        </w:rPr>
        <w:t>6-layer MiniLM, 384-dimensional output vectors, ~90 MB model size, CPU-friendly, trained on 1+ billion sentence pairs.</w:t>
      </w:r>
    </w:p>
    <w:p>
      <w:pPr>
        <w:spacing w:before="0" w:after="0"/>
        <w:ind w:left="227"/>
        <w:shd w:val="clear" w:color="auto" w:fill="F4F7FB"/>
      </w:pPr>
      <w:r>
        <w:rPr>
          <w:rFonts w:ascii="Calibri" w:hAnsi="Calibri"/>
          <w:b/>
          <w:i w:val="0"/>
          <w:color w:val="0D1B3E"/>
          <w:sz w:val="20"/>
        </w:rPr>
        <w:t xml:space="preserve">Why it matters for FinSight: </w:t>
      </w:r>
      <w:r>
        <w:rPr>
          <w:rFonts w:ascii="Calibri" w:hAnsi="Calibri"/>
          <w:b w:val="0"/>
          <w:i w:val="0"/>
          <w:color w:val="2E2E2E"/>
          <w:sz w:val="20"/>
        </w:rPr>
        <w:t>"SBUX COFFEE #4521" and "Starbucks Coffee Co" share zero tokens after stopword removal — TF-IDF gives near-zero similarity. SBERT gives cosine similarity &gt; 0.85.</w:t>
      </w:r>
    </w:p>
    <w:p>
      <w:pPr>
        <w:spacing w:before="0" w:after="0"/>
        <w:ind w:left="227"/>
        <w:shd w:val="clear" w:color="auto" w:fill="F4F7FB"/>
      </w:pPr>
      <w:r>
        <w:rPr>
          <w:rFonts w:ascii="Calibri" w:hAnsi="Calibri"/>
          <w:b/>
          <w:i w:val="0"/>
          <w:color w:val="0D1B3E"/>
          <w:sz w:val="20"/>
        </w:rPr>
        <w:t xml:space="preserve">Normalisation: </w:t>
      </w:r>
      <w:r>
        <w:rPr>
          <w:rFonts w:ascii="Calibri" w:hAnsi="Calibri"/>
          <w:b w:val="0"/>
          <w:i w:val="0"/>
          <w:color w:val="2E2E2E"/>
          <w:sz w:val="20"/>
        </w:rPr>
        <w:t>We encode with normalize_embeddings=True producing unit vectors. Cosine similarity then equals dot product — pgvector's &lt;-&gt; operator works correctly and efficiently.</w:t>
      </w:r>
    </w:p>
    <w:p>
      <w:pPr>
        <w:spacing w:before="0" w:after="0"/>
        <w:ind w:left="227"/>
        <w:shd w:val="clear" w:color="auto" w:fill="F4F7FB"/>
      </w:pPr>
      <w:r>
        <w:rPr>
          <w:rFonts w:ascii="Calibri" w:hAnsi="Calibri"/>
          <w:b/>
          <w:i w:val="0"/>
          <w:color w:val="0D1B3E"/>
          <w:sz w:val="20"/>
        </w:rPr>
        <w:t xml:space="preserve">Memory note: </w:t>
      </w:r>
      <w:r>
        <w:rPr>
          <w:rFonts w:ascii="Calibri" w:hAnsi="Calibri"/>
          <w:b w:val="0"/>
          <w:i w:val="0"/>
          <w:color w:val="2E2E2E"/>
          <w:sz w:val="20"/>
        </w:rPr>
        <w:t>384-dim float32 embedding = 1,536 bytes ≈ 1.5 KB per transaction. 100k transactions ≈ 150 MB in pgvector — well within budget.</w:t>
      </w:r>
    </w:p>
    <w:p>
      <w:pPr>
        <w:spacing w:before="0" w:after="0"/>
      </w:pPr>
    </w:p>
    <w:p>
      <w:pPr>
        <w:spacing w:before="120" w:after="0"/>
        <w:shd w:val="clear" w:color="auto" w:fill="008787"/>
      </w:pPr>
      <w:r>
        <w:rPr>
          <w:rFonts w:ascii="Calibri" w:hAnsi="Calibri"/>
          <w:b/>
          <w:i w:val="0"/>
          <w:color w:val="FFFFFF"/>
          <w:sz w:val="22"/>
        </w:rPr>
        <w:t xml:space="preserve">  9 · TF-IDF — Term Frequency–Inverse Document Frequency</w:t>
      </w:r>
    </w:p>
    <w:p>
      <w:pPr>
        <w:spacing w:before="0" w:after="0"/>
        <w:ind w:left="227"/>
        <w:shd w:val="clear" w:color="auto" w:fill="F4F7FB"/>
      </w:pPr>
      <w:r>
        <w:rPr>
          <w:rFonts w:ascii="Calibri" w:hAnsi="Calibri"/>
          <w:b/>
          <w:i w:val="0"/>
          <w:color w:val="0D1B3E"/>
          <w:sz w:val="20"/>
        </w:rPr>
        <w:t xml:space="preserve">What it is: </w:t>
      </w:r>
      <w:r>
        <w:rPr>
          <w:rFonts w:ascii="Calibri" w:hAnsi="Calibri"/>
          <w:b w:val="0"/>
          <w:i w:val="0"/>
          <w:color w:val="2E2E2E"/>
          <w:sz w:val="20"/>
        </w:rPr>
        <w:t>A classical NLP technique that converts text documents into a numerical matrix where each cell represents how "important" a word is to a specific document relative to the entire collection.</w:t>
      </w:r>
    </w:p>
    <w:p>
      <w:pPr>
        <w:spacing w:before="0" w:after="0"/>
        <w:ind w:left="227"/>
        <w:shd w:val="clear" w:color="auto" w:fill="F4F7FB"/>
      </w:pPr>
      <w:r>
        <w:rPr>
          <w:rFonts w:ascii="Calibri" w:hAnsi="Calibri"/>
          <w:b/>
          <w:i w:val="0"/>
          <w:color w:val="0D1B3E"/>
          <w:sz w:val="20"/>
        </w:rPr>
        <w:t xml:space="preserve">TF (Term Frequency): </w:t>
      </w:r>
      <w:r>
        <w:rPr>
          <w:rFonts w:ascii="Calibri" w:hAnsi="Calibri"/>
          <w:b w:val="0"/>
          <w:i w:val="0"/>
          <w:color w:val="2E2E2E"/>
          <w:sz w:val="20"/>
        </w:rPr>
        <w:t>How often does word W appear in document D? More occurrences → higher score.</w:t>
      </w:r>
    </w:p>
    <w:p>
      <w:pPr>
        <w:spacing w:before="0" w:after="0"/>
        <w:ind w:left="227"/>
        <w:shd w:val="clear" w:color="auto" w:fill="F4F7FB"/>
      </w:pPr>
      <w:r>
        <w:rPr>
          <w:rFonts w:ascii="Calibri" w:hAnsi="Calibri"/>
          <w:b/>
          <w:i w:val="0"/>
          <w:color w:val="0D1B3E"/>
          <w:sz w:val="20"/>
        </w:rPr>
        <w:t xml:space="preserve">IDF (Inverse Document Frequency): </w:t>
      </w:r>
      <w:r>
        <w:rPr>
          <w:rFonts w:ascii="Calibri" w:hAnsi="Calibri"/>
          <w:b w:val="0"/>
          <w:i w:val="0"/>
          <w:color w:val="2E2E2E"/>
          <w:sz w:val="20"/>
        </w:rPr>
        <w:t>How rare is word W across ALL documents? Words in every document ("the", "a") get low IDF. Rare, discriminating words get high IDF.</w:t>
      </w:r>
    </w:p>
    <w:p>
      <w:pPr>
        <w:spacing w:before="0" w:after="0"/>
        <w:ind w:left="227"/>
        <w:shd w:val="clear" w:color="auto" w:fill="F4F7FB"/>
      </w:pPr>
      <w:r>
        <w:rPr>
          <w:rFonts w:ascii="Calibri" w:hAnsi="Calibri"/>
          <w:b/>
          <w:i w:val="0"/>
          <w:color w:val="0D1B3E"/>
          <w:sz w:val="20"/>
        </w:rPr>
        <w:t xml:space="preserve">TF-IDF score = TF x IDF: </w:t>
      </w:r>
      <w:r>
        <w:rPr>
          <w:rFonts w:ascii="Calibri" w:hAnsi="Calibri"/>
          <w:b w:val="0"/>
          <w:i w:val="0"/>
          <w:color w:val="2E2E2E"/>
          <w:sz w:val="20"/>
        </w:rPr>
        <w:t>High score means frequent in THIS document but rare overall — characteristic of this document.</w:t>
      </w:r>
    </w:p>
    <w:p>
      <w:pPr>
        <w:spacing w:before="0" w:after="0"/>
        <w:ind w:left="227"/>
        <w:shd w:val="clear" w:color="auto" w:fill="F4F7FB"/>
      </w:pPr>
      <w:r>
        <w:rPr>
          <w:rFonts w:ascii="Calibri" w:hAnsi="Calibri"/>
          <w:b/>
          <w:i w:val="0"/>
          <w:color w:val="0D1B3E"/>
          <w:sz w:val="20"/>
        </w:rPr>
        <w:t xml:space="preserve">Why TF-IDF for keywords (not clustering) in FinSight: </w:t>
      </w:r>
      <w:r>
        <w:rPr>
          <w:rFonts w:ascii="Calibri" w:hAnsi="Calibri"/>
          <w:b w:val="0"/>
          <w:i w:val="0"/>
          <w:color w:val="2E2E2E"/>
          <w:sz w:val="20"/>
        </w:rPr>
        <w:t>Produces human-readable term weights, fast (no model loading), interpretable ("coffee, starbucks, cafe" is a meaningful label).</w:t>
      </w:r>
    </w:p>
    <w:p>
      <w:pPr>
        <w:spacing w:before="0" w:after="0"/>
        <w:ind w:left="227"/>
        <w:shd w:val="clear" w:color="auto" w:fill="F4F7FB"/>
      </w:pPr>
      <w:r>
        <w:rPr>
          <w:rFonts w:ascii="Calibri" w:hAnsi="Calibri"/>
          <w:b/>
          <w:i w:val="0"/>
          <w:color w:val="0D1B3E"/>
          <w:sz w:val="20"/>
        </w:rPr>
        <w:t xml:space="preserve">Limitation and why it matters: </w:t>
      </w:r>
      <w:r>
        <w:rPr>
          <w:rFonts w:ascii="Calibri" w:hAnsi="Calibri"/>
          <w:b w:val="0"/>
          <w:i w:val="0"/>
          <w:color w:val="2E2E2E"/>
          <w:sz w:val="20"/>
        </w:rPr>
        <w:t>Purely lexical — "SBUX" is NOT equal to "Starbucks" under TF-IDF. This is exactly why we use SBERT for clustering and TF-IDF only for labelling.</w:t>
      </w:r>
    </w:p>
    <w:p>
      <w:pPr>
        <w:spacing w:before="0" w:after="0"/>
        <w:ind w:left="227"/>
        <w:shd w:val="clear" w:color="auto" w:fill="F4F7FB"/>
      </w:pPr>
      <w:r>
        <w:rPr>
          <w:rFonts w:ascii="Calibri" w:hAnsi="Calibri"/>
          <w:b/>
          <w:i w:val="0"/>
          <w:color w:val="0D1B3E"/>
          <w:sz w:val="20"/>
        </w:rPr>
        <w:t xml:space="preserve">n-gram range (1,2): </w:t>
      </w:r>
      <w:r>
        <w:rPr>
          <w:rFonts w:ascii="Calibri" w:hAnsi="Calibri"/>
          <w:b w:val="0"/>
          <w:i w:val="0"/>
          <w:color w:val="2E2E2E"/>
          <w:sz w:val="20"/>
        </w:rPr>
        <w:t>Includes single words ("coffee") and two-word phrases ("costa coffee") as features, capturing compound merchant names.</w:t>
      </w: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SECTION 1 — System Design &amp; Architecture</w:t>
      </w:r>
    </w:p>
    <w:p>
      <w:pPr>
        <w:spacing w:before="0" w:after="0"/>
      </w:pPr>
    </w:p>
    <w:p>
      <w:pPr>
        <w:spacing w:before="160" w:after="0"/>
        <w:shd w:val="clear" w:color="auto" w:fill="0D1B3E"/>
      </w:pPr>
      <w:r>
        <w:rPr>
          <w:rFonts w:ascii="Calibri" w:hAnsi="Calibri"/>
          <w:b/>
          <w:i w:val="0"/>
          <w:color w:val="F0A500"/>
          <w:sz w:val="22"/>
        </w:rPr>
        <w:t xml:space="preserve">  Q1. </w:t>
      </w:r>
      <w:r>
        <w:rPr>
          <w:rFonts w:ascii="Calibri" w:hAnsi="Calibri"/>
          <w:b/>
          <w:i w:val="0"/>
          <w:color w:val="FFFFFF"/>
          <w:sz w:val="22"/>
        </w:rPr>
        <w:t>Walk me through the high-level architecture of FinSight.</w:t>
      </w:r>
    </w:p>
    <w:p>
      <w:pPr>
        <w:spacing w:before="0" w:after="0"/>
        <w:ind w:left="227"/>
        <w:shd w:val="clear" w:color="auto" w:fill="E0F4F4"/>
      </w:pPr>
      <w:r>
        <w:rPr>
          <w:rFonts w:ascii="Calibri" w:hAnsi="Calibri"/>
          <w:b w:val="0"/>
          <w:i w:val="0"/>
          <w:color w:val="2E2E2E"/>
          <w:sz w:val="21"/>
        </w:rPr>
        <w:t>FinSight is a two-service decoupled architecture — not a monolith, not full microservice sprawl. The decision was deliberate.</w:t>
      </w:r>
    </w:p>
    <w:p>
      <w:pPr>
        <w:spacing w:before="0" w:after="0"/>
        <w:ind w:left="227"/>
        <w:shd w:val="clear" w:color="auto" w:fill="E0F4F4"/>
      </w:pPr>
      <w:r>
        <w:rPr>
          <w:rFonts w:ascii="Calibri" w:hAnsi="Calibri"/>
          <w:b w:val="0"/>
          <w:i w:val="0"/>
          <w:color w:val="2E2E2E"/>
          <w:sz w:val="21"/>
        </w:rPr>
        <w:t>Core API (FastAPI): handles authentication, file ingestion, job orchestration, and analytics. It is the single entry point — an API Gateway pattern. The frontend never directly touches the ML Engine.</w:t>
      </w:r>
    </w:p>
    <w:p>
      <w:pPr>
        <w:spacing w:before="0" w:after="0"/>
        <w:ind w:left="227"/>
        <w:shd w:val="clear" w:color="auto" w:fill="E0F4F4"/>
      </w:pPr>
      <w:r>
        <w:rPr>
          <w:rFonts w:ascii="Calibri" w:hAnsi="Calibri"/>
          <w:b w:val="0"/>
          <w:i w:val="0"/>
          <w:color w:val="2E2E2E"/>
          <w:sz w:val="21"/>
        </w:rPr>
        <w:t>ML Inference Engine (FastAPI, separate container): owns all heavy ML computation — SBERT embedding, KMeans clustering, TF-IDF keyword extraction. Stateless and independently deployable.</w:t>
      </w:r>
    </w:p>
    <w:p>
      <w:pPr>
        <w:spacing w:before="0" w:after="0"/>
        <w:ind w:left="227"/>
        <w:shd w:val="clear" w:color="auto" w:fill="E0F4F4"/>
      </w:pPr>
      <w:r>
        <w:rPr>
          <w:rFonts w:ascii="Calibri" w:hAnsi="Calibri"/>
          <w:b w:val="0"/>
          <w:i w:val="0"/>
          <w:color w:val="2E2E2E"/>
          <w:sz w:val="21"/>
        </w:rPr>
        <w:t>Database: Supabase-hosted PostgreSQL 15 with pgvector extension for native vector similarity search. File storage: Supabase Storage. No message broker at this stage — BackgroundTasks + DB-polling for job status.</w:t>
      </w:r>
    </w:p>
    <w:p>
      <w:pPr>
        <w:spacing w:before="0" w:after="0"/>
        <w:ind w:left="227"/>
        <w:shd w:val="clear" w:color="auto" w:fill="E0F4F4"/>
      </w:pPr>
      <w:r>
        <w:rPr>
          <w:rFonts w:ascii="Calibri" w:hAnsi="Calibri"/>
          <w:b w:val="0"/>
          <w:i w:val="0"/>
          <w:color w:val="2E2E2E"/>
          <w:sz w:val="21"/>
        </w:rPr>
        <w:t>Stack: Render (both API services, free tier) + Vercel (React/Next.js frontend) + Supabase (data). Cost: $0/month with a documented config-change-only upgrade path to AWS ECS at scale.</w:t>
      </w:r>
    </w:p>
    <w:p>
      <w:pPr>
        <w:spacing w:before="0" w:after="0"/>
      </w:pPr>
    </w:p>
    <w:p>
      <w:pPr>
        <w:spacing w:before="160" w:after="0"/>
        <w:shd w:val="clear" w:color="auto" w:fill="0D1B3E"/>
      </w:pPr>
      <w:r>
        <w:rPr>
          <w:rFonts w:ascii="Calibri" w:hAnsi="Calibri"/>
          <w:b/>
          <w:i w:val="0"/>
          <w:color w:val="F0A500"/>
          <w:sz w:val="22"/>
        </w:rPr>
        <w:t xml:space="preserve">  Q2. </w:t>
      </w:r>
      <w:r>
        <w:rPr>
          <w:rFonts w:ascii="Calibri" w:hAnsi="Calibri"/>
          <w:b/>
          <w:i w:val="0"/>
          <w:color w:val="FFFFFF"/>
          <w:sz w:val="22"/>
        </w:rPr>
        <w:t>Why separate the ML Engine instead of keeping it in the Core API?</w:t>
      </w:r>
    </w:p>
    <w:p>
      <w:pPr>
        <w:spacing w:before="0" w:after="0"/>
        <w:ind w:left="227"/>
        <w:shd w:val="clear" w:color="auto" w:fill="E0F4F4"/>
      </w:pPr>
      <w:r>
        <w:rPr>
          <w:rFonts w:ascii="Calibri" w:hAnsi="Calibri"/>
          <w:b w:val="0"/>
          <w:i w:val="0"/>
          <w:color w:val="2E2E2E"/>
          <w:sz w:val="21"/>
        </w:rPr>
        <w:t>Two concrete reasons, not theoretical ones.</w:t>
      </w:r>
    </w:p>
    <w:p>
      <w:pPr>
        <w:spacing w:before="0" w:after="0"/>
        <w:ind w:left="227"/>
        <w:shd w:val="clear" w:color="auto" w:fill="E0F4F4"/>
      </w:pPr>
      <w:r>
        <w:rPr>
          <w:rFonts w:ascii="Calibri" w:hAnsi="Calibri"/>
          <w:b w:val="0"/>
          <w:i w:val="0"/>
          <w:color w:val="2E2E2E"/>
          <w:sz w:val="21"/>
        </w:rPr>
        <w:t>Reason 1 — Independent scaling: The ML Engine is CPU-bound (SBERT embedding + KMeans). If co-located with the Core API, a surge in clustering jobs starves auth and upload endpoints. Separation allows scaling the ML Engine horizontally without touching the Core API.</w:t>
      </w:r>
    </w:p>
    <w:p>
      <w:pPr>
        <w:spacing w:before="0" w:after="0"/>
        <w:ind w:left="227"/>
        <w:shd w:val="clear" w:color="auto" w:fill="E0F4F4"/>
      </w:pPr>
      <w:r>
        <w:rPr>
          <w:rFonts w:ascii="Calibri" w:hAnsi="Calibri"/>
          <w:b w:val="0"/>
          <w:i w:val="0"/>
          <w:color w:val="2E2E2E"/>
          <w:sz w:val="21"/>
        </w:rPr>
        <w:t>Reason 2 — Dependency isolation: ML Engine needs PyTorch, sentence-transformers, scikit-learn (~500 MB). Core API needs none of that. A single Docker image would rebuild and ship 500 MB on every Core API deploy unnecessarily.</w:t>
      </w:r>
    </w:p>
    <w:p>
      <w:pPr>
        <w:spacing w:before="0" w:after="0"/>
        <w:ind w:left="227"/>
        <w:shd w:val="clear" w:color="auto" w:fill="E0F4F4"/>
      </w:pPr>
      <w:r>
        <w:rPr>
          <w:rFonts w:ascii="Calibri" w:hAnsi="Calibri"/>
          <w:b w:val="0"/>
          <w:i w:val="0"/>
          <w:color w:val="2E2E2E"/>
          <w:sz w:val="21"/>
        </w:rPr>
        <w:t>We stopped short of full microservices: that adds service discovery, distributed tracing, and inter-service auth overhead for a product at hundreds-of-users scale. The 2-service split gives the key scaling benefit without the operational tax.</w:t>
      </w:r>
    </w:p>
    <w:p>
      <w:pPr>
        <w:spacing w:before="0" w:after="0"/>
      </w:pPr>
    </w:p>
    <w:p>
      <w:pPr>
        <w:spacing w:before="160" w:after="0"/>
        <w:shd w:val="clear" w:color="auto" w:fill="0D1B3E"/>
      </w:pPr>
      <w:r>
        <w:rPr>
          <w:rFonts w:ascii="Calibri" w:hAnsi="Calibri"/>
          <w:b/>
          <w:i w:val="0"/>
          <w:color w:val="F0A500"/>
          <w:sz w:val="22"/>
        </w:rPr>
        <w:t xml:space="preserve">  Q3. </w:t>
      </w:r>
      <w:r>
        <w:rPr>
          <w:rFonts w:ascii="Calibri" w:hAnsi="Calibri"/>
          <w:b/>
          <w:i w:val="0"/>
          <w:color w:val="FFFFFF"/>
          <w:sz w:val="22"/>
        </w:rPr>
        <w:t>Why pgvector instead of a dedicated vector DB like Pinecone or Weaviate?</w:t>
      </w:r>
    </w:p>
    <w:p>
      <w:pPr>
        <w:spacing w:before="0" w:after="0"/>
        <w:ind w:left="227"/>
        <w:shd w:val="clear" w:color="auto" w:fill="E0F4F4"/>
      </w:pPr>
      <w:r>
        <w:rPr>
          <w:rFonts w:ascii="Calibri" w:hAnsi="Calibri"/>
          <w:b w:val="0"/>
          <w:i w:val="0"/>
          <w:color w:val="2E2E2E"/>
          <w:sz w:val="21"/>
        </w:rPr>
        <w:t>At our scale — hundreds of users, thousands of embeddings — a dedicated vector database is pure over-engineering.</w:t>
      </w:r>
    </w:p>
    <w:p>
      <w:pPr>
        <w:spacing w:before="0" w:after="0"/>
        <w:ind w:left="227"/>
        <w:shd w:val="clear" w:color="auto" w:fill="E0F4F4"/>
      </w:pPr>
      <w:r>
        <w:rPr>
          <w:rFonts w:ascii="Calibri" w:hAnsi="Calibri"/>
          <w:b w:val="0"/>
          <w:i w:val="0"/>
          <w:color w:val="2E2E2E"/>
          <w:sz w:val="21"/>
        </w:rPr>
        <w:t>It adds: another managed service, another failure point, another billing line, and a data consistency problem — metadata in Postgres, embeddings in Pinecone, requiring synchronisation.</w:t>
      </w:r>
    </w:p>
    <w:p>
      <w:pPr>
        <w:spacing w:before="0" w:after="0"/>
        <w:ind w:left="227"/>
        <w:shd w:val="clear" w:color="auto" w:fill="E0F4F4"/>
      </w:pPr>
      <w:r>
        <w:rPr>
          <w:rFonts w:ascii="Calibri" w:hAnsi="Calibri"/>
          <w:b w:val="0"/>
          <w:i w:val="0"/>
          <w:color w:val="2E2E2E"/>
          <w:sz w:val="21"/>
        </w:rPr>
        <w:t>pgvector gives us native vector storage and ANN search inside the same Postgres instance holding transactions and cluster metadata. The /predict endpoint does a single SQL query — no cross-service call.</w:t>
      </w:r>
    </w:p>
    <w:p>
      <w:pPr>
        <w:spacing w:before="0" w:after="0"/>
        <w:ind w:left="227"/>
        <w:shd w:val="clear" w:color="auto" w:fill="E0F4F4"/>
      </w:pPr>
      <w:r>
        <w:rPr>
          <w:rFonts w:ascii="Calibri" w:hAnsi="Calibri"/>
          <w:b w:val="0"/>
          <w:i w:val="0"/>
          <w:color w:val="2E2E2E"/>
          <w:sz w:val="21"/>
        </w:rPr>
        <w:t>ivfflat indexes are created upfront so scaling to ANN search is a config change, not a schema migration. Upgrade path to a dedicated vector DB exists if we hit millions of embeddings — but we do not pay that cost until needed.</w:t>
      </w:r>
    </w:p>
    <w:p>
      <w:pPr>
        <w:spacing w:before="0" w:after="0"/>
      </w:pPr>
    </w:p>
    <w:p>
      <w:pPr>
        <w:spacing w:before="160" w:after="0"/>
        <w:shd w:val="clear" w:color="auto" w:fill="0D1B3E"/>
      </w:pPr>
      <w:r>
        <w:rPr>
          <w:rFonts w:ascii="Calibri" w:hAnsi="Calibri"/>
          <w:b/>
          <w:i w:val="0"/>
          <w:color w:val="F0A500"/>
          <w:sz w:val="22"/>
        </w:rPr>
        <w:t xml:space="preserve">  Q4. </w:t>
      </w:r>
      <w:r>
        <w:rPr>
          <w:rFonts w:ascii="Calibri" w:hAnsi="Calibri"/>
          <w:b/>
          <w:i w:val="0"/>
          <w:color w:val="FFFFFF"/>
          <w:sz w:val="22"/>
        </w:rPr>
        <w:t>Explain: SBERT for clustering but TF-IDF for keywords?</w:t>
      </w:r>
    </w:p>
    <w:p>
      <w:pPr>
        <w:spacing w:before="0" w:after="0"/>
        <w:ind w:left="227"/>
        <w:shd w:val="clear" w:color="auto" w:fill="E0F4F4"/>
      </w:pPr>
      <w:r>
        <w:rPr>
          <w:rFonts w:ascii="Calibri" w:hAnsi="Calibri"/>
          <w:b w:val="0"/>
          <w:i w:val="0"/>
          <w:color w:val="2E2E2E"/>
          <w:sz w:val="21"/>
        </w:rPr>
        <w:t>TF-IDF is a lexical model — it measures word overlap. "SBUX COFFEE #4521" and "Starbucks Coffee Co" share almost zero tokens after stopword removal — TF-IDF clusters them separately. But semantically they are the same thing.</w:t>
      </w:r>
    </w:p>
    <w:p>
      <w:pPr>
        <w:spacing w:before="0" w:after="0"/>
        <w:ind w:left="227"/>
        <w:shd w:val="clear" w:color="auto" w:fill="E0F4F4"/>
      </w:pPr>
      <w:r>
        <w:rPr>
          <w:rFonts w:ascii="Calibri" w:hAnsi="Calibri"/>
          <w:b w:val="0"/>
          <w:i w:val="0"/>
          <w:color w:val="2E2E2E"/>
          <w:sz w:val="21"/>
        </w:rPr>
        <w:t>SBERT (all-MiniLM-L6-v2) produces 384-dimensional embeddings where semantically similar sentences are geometrically close regardless of lexical overlap. "SBUX", "Starbucks", "Costa Coffee" all land near each other in embedding space.</w:t>
      </w:r>
    </w:p>
    <w:p>
      <w:pPr>
        <w:spacing w:before="0" w:after="0"/>
        <w:ind w:left="227"/>
        <w:shd w:val="clear" w:color="auto" w:fill="E0F4F4"/>
      </w:pPr>
      <w:r>
        <w:rPr>
          <w:rFonts w:ascii="Calibri" w:hAnsi="Calibri"/>
          <w:b w:val="0"/>
          <w:i w:val="0"/>
          <w:color w:val="2E2E2E"/>
          <w:sz w:val="21"/>
        </w:rPr>
        <w:t>But SBERT embeddings are dense numerical vectors — not human-readable. You cannot show a user "Cluster 2: [0.033, -0.062...]". After clustering, we run TF-IDF on transactions within each cluster and extract top-N terms by mean score.</w:t>
      </w:r>
    </w:p>
    <w:p>
      <w:pPr>
        <w:spacing w:before="0" w:after="0"/>
        <w:ind w:left="227"/>
        <w:shd w:val="clear" w:color="auto" w:fill="E0F4F4"/>
      </w:pPr>
      <w:r>
        <w:rPr>
          <w:rFonts w:ascii="Calibri" w:hAnsi="Calibri"/>
          <w:b w:val="0"/>
          <w:i w:val="0"/>
          <w:color w:val="2E2E2E"/>
          <w:sz w:val="21"/>
        </w:rPr>
        <w:t>Result: Top TF-IDF terms become the human-readable label — "coffee, starbucks, cafe, latte." SBERT for grouping quality. TF-IDF for interpretability. Neither alone gives us both.</w:t>
      </w:r>
    </w:p>
    <w:p>
      <w:pPr>
        <w:spacing w:before="0" w:after="0"/>
      </w:pPr>
    </w:p>
    <w:p>
      <w:pPr>
        <w:spacing w:before="160" w:after="0"/>
        <w:shd w:val="clear" w:color="auto" w:fill="0D1B3E"/>
      </w:pPr>
      <w:r>
        <w:rPr>
          <w:rFonts w:ascii="Calibri" w:hAnsi="Calibri"/>
          <w:b/>
          <w:i w:val="0"/>
          <w:color w:val="F0A500"/>
          <w:sz w:val="22"/>
        </w:rPr>
        <w:t xml:space="preserve">  Q5. </w:t>
      </w:r>
      <w:r>
        <w:rPr>
          <w:rFonts w:ascii="Calibri" w:hAnsi="Calibri"/>
          <w:b/>
          <w:i w:val="0"/>
          <w:color w:val="FFFFFF"/>
          <w:sz w:val="22"/>
        </w:rPr>
        <w:t>How does your K-determination work? Why not let the user pick K?</w:t>
      </w:r>
    </w:p>
    <w:p>
      <w:pPr>
        <w:spacing w:before="0" w:after="0"/>
        <w:ind w:left="227"/>
        <w:shd w:val="clear" w:color="auto" w:fill="E0F4F4"/>
      </w:pPr>
      <w:r>
        <w:rPr>
          <w:rFonts w:ascii="Calibri" w:hAnsi="Calibri"/>
          <w:b w:val="0"/>
          <w:i w:val="0"/>
          <w:color w:val="2E2E2E"/>
          <w:sz w:val="21"/>
        </w:rPr>
        <w:t>Letting the user pick K is a UX anti-pattern. If we ask "how many spending categories do you have?", they will guess. A wrong K produces meaningless clusters — defeating the purpose of an AI-powered system.</w:t>
      </w:r>
    </w:p>
    <w:p>
      <w:pPr>
        <w:spacing w:before="0" w:after="0"/>
        <w:ind w:left="227"/>
        <w:shd w:val="clear" w:color="auto" w:fill="E0F4F4"/>
      </w:pPr>
      <w:r>
        <w:rPr>
          <w:rFonts w:ascii="Calibri" w:hAnsi="Calibri"/>
          <w:b w:val="0"/>
          <w:i w:val="0"/>
          <w:color w:val="2E2E2E"/>
          <w:sz w:val="21"/>
        </w:rPr>
        <w:t>We use the Kneedle algorithm — automated elbow method — on the inertia curve from K=2 to K=10. Kneedle mathematically identifies the point of maximum curvature where adding another cluster stops meaningfully reducing variance.</w:t>
      </w:r>
    </w:p>
    <w:p>
      <w:pPr>
        <w:spacing w:before="0" w:after="0"/>
        <w:ind w:left="227"/>
        <w:shd w:val="clear" w:color="auto" w:fill="E0F4F4"/>
      </w:pPr>
      <w:r>
        <w:rPr>
          <w:rFonts w:ascii="Calibri" w:hAnsi="Calibri"/>
          <w:b w:val="0"/>
          <w:i w:val="0"/>
          <w:color w:val="2E2E2E"/>
          <w:sz w:val="21"/>
        </w:rPr>
        <w:t>Fallback: We also compute silhouette scores at each K. If Kneedle finds no clear elbow, we use the silhouette-optimal K. Silhouette measures how well each point fits its cluster vs the nearest alternative — more direct than inertia alone.</w:t>
      </w:r>
    </w:p>
    <w:p>
      <w:pPr>
        <w:spacing w:before="0" w:after="0"/>
        <w:ind w:left="227"/>
        <w:shd w:val="clear" w:color="auto" w:fill="E0F4F4"/>
      </w:pPr>
      <w:r>
        <w:rPr>
          <w:rFonts w:ascii="Calibri" w:hAnsi="Calibri"/>
          <w:b w:val="0"/>
          <w:i w:val="0"/>
          <w:color w:val="2E2E2E"/>
          <w:sz w:val="21"/>
        </w:rPr>
        <w:t>Combined approach: robust automatic K selection that degrades gracefully rather than crashing or picking arbitrarily on ambiguous data.</w:t>
      </w: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SECTION 2 — Technical Deep-Dive</w:t>
      </w:r>
    </w:p>
    <w:p>
      <w:pPr>
        <w:spacing w:before="0" w:after="0"/>
      </w:pPr>
    </w:p>
    <w:p>
      <w:pPr>
        <w:spacing w:before="160" w:after="0"/>
        <w:shd w:val="clear" w:color="auto" w:fill="0D1B3E"/>
      </w:pPr>
      <w:r>
        <w:rPr>
          <w:rFonts w:ascii="Calibri" w:hAnsi="Calibri"/>
          <w:b/>
          <w:i w:val="0"/>
          <w:color w:val="F0A500"/>
          <w:sz w:val="22"/>
        </w:rPr>
        <w:t xml:space="preserve">  Q6. </w:t>
      </w:r>
      <w:r>
        <w:rPr>
          <w:rFonts w:ascii="Calibri" w:hAnsi="Calibri"/>
          <w:b/>
          <w:i w:val="0"/>
          <w:color w:val="FFFFFF"/>
          <w:sz w:val="22"/>
        </w:rPr>
        <w:t>Walk me through: file upload to cluster visualisation.</w:t>
      </w:r>
    </w:p>
    <w:p>
      <w:pPr>
        <w:spacing w:before="0" w:after="0"/>
        <w:ind w:left="227"/>
        <w:shd w:val="clear" w:color="auto" w:fill="E0F4F4"/>
      </w:pPr>
      <w:r>
        <w:rPr>
          <w:rFonts w:ascii="Calibri" w:hAnsi="Calibri"/>
          <w:b w:val="0"/>
          <w:i w:val="0"/>
          <w:color w:val="2E2E2E"/>
          <w:sz w:val="21"/>
        </w:rPr>
        <w:t>Step 1: User hits POST /api/v1/statements/upload with PDF or CSV and a valid JWT. Core API authenticates, streams file bytes in-memory (never writes to local disk — critical on stateless compute).</w:t>
      </w:r>
    </w:p>
    <w:p>
      <w:pPr>
        <w:spacing w:before="0" w:after="0"/>
        <w:ind w:left="227"/>
        <w:shd w:val="clear" w:color="auto" w:fill="E0F4F4"/>
      </w:pPr>
      <w:r>
        <w:rPr>
          <w:rFonts w:ascii="Calibri" w:hAnsi="Calibri"/>
          <w:b w:val="0"/>
          <w:i w:val="0"/>
          <w:color w:val="2E2E2E"/>
          <w:sz w:val="21"/>
        </w:rPr>
        <w:t>Step 2: File uploaded to Supabase Storage with server-side encryption. A statements row is created with status=PENDING.</w:t>
      </w:r>
    </w:p>
    <w:p>
      <w:pPr>
        <w:spacing w:before="0" w:after="0"/>
        <w:ind w:left="227"/>
        <w:shd w:val="clear" w:color="auto" w:fill="E0F4F4"/>
      </w:pPr>
      <w:r>
        <w:rPr>
          <w:rFonts w:ascii="Calibri" w:hAnsi="Calibri"/>
          <w:b w:val="0"/>
          <w:i w:val="0"/>
          <w:color w:val="2E2E2E"/>
          <w:sz w:val="21"/>
        </w:rPr>
        <w:t>Step 3: pdfplumber extracts tables from PDFs; pandas reads CSVs. Each transaction goes through the PII scrubber before any DB write or ML call.</w:t>
      </w:r>
    </w:p>
    <w:p>
      <w:pPr>
        <w:spacing w:before="0" w:after="0"/>
        <w:ind w:left="227"/>
        <w:shd w:val="clear" w:color="auto" w:fill="E0F4F4"/>
      </w:pPr>
      <w:r>
        <w:rPr>
          <w:rFonts w:ascii="Calibri" w:hAnsi="Calibri"/>
          <w:b w:val="0"/>
          <w:i w:val="0"/>
          <w:color w:val="2E2E2E"/>
          <w:sz w:val="21"/>
        </w:rPr>
        <w:t>Step 4: Transaction rows written to Postgres. Statement status → PARSED. Endpoint returns statement_id and transaction count immediately.</w:t>
      </w:r>
    </w:p>
    <w:p>
      <w:pPr>
        <w:spacing w:before="0" w:after="0"/>
        <w:ind w:left="227"/>
        <w:shd w:val="clear" w:color="auto" w:fill="E0F4F4"/>
      </w:pPr>
      <w:r>
        <w:rPr>
          <w:rFonts w:ascii="Calibri" w:hAnsi="Calibri"/>
          <w:b w:val="0"/>
          <w:i w:val="0"/>
          <w:color w:val="2E2E2E"/>
          <w:sz w:val="21"/>
        </w:rPr>
        <w:t>Step 5: User hits POST /api/v1/cluster. A clustering_jobs row is created (QUEUED). A BackgroundTask is registered. Response returns 202 Accepted immediately — not after job completes.</w:t>
      </w:r>
    </w:p>
    <w:p>
      <w:pPr>
        <w:spacing w:before="0" w:after="0"/>
        <w:ind w:left="227"/>
        <w:shd w:val="clear" w:color="auto" w:fill="E0F4F4"/>
      </w:pPr>
      <w:r>
        <w:rPr>
          <w:rFonts w:ascii="Calibri" w:hAnsi="Calibri"/>
          <w:b w:val="0"/>
          <w:i w:val="0"/>
          <w:color w:val="2E2E2E"/>
          <w:sz w:val="21"/>
        </w:rPr>
        <w:t>Step 6: Background task calls ML Engine POST /api/v1/cluster. ML Engine runs: SBERT embed → Kneedle elbow → KMeans fit → TF-IDF keywords. Results returned to orchestrator.</w:t>
      </w:r>
    </w:p>
    <w:p>
      <w:pPr>
        <w:spacing w:before="0" w:after="0"/>
        <w:ind w:left="227"/>
        <w:shd w:val="clear" w:color="auto" w:fill="E0F4F4"/>
      </w:pPr>
      <w:r>
        <w:rPr>
          <w:rFonts w:ascii="Calibri" w:hAnsi="Calibri"/>
          <w:b w:val="0"/>
          <w:i w:val="0"/>
          <w:color w:val="2E2E2E"/>
          <w:sz w:val="21"/>
        </w:rPr>
        <w:t>Step 7: Cluster rows with centroid vectors written to Postgres. Each transaction gets cluster_id and embedding. Job status → DONE.</w:t>
      </w:r>
    </w:p>
    <w:p>
      <w:pPr>
        <w:spacing w:before="0" w:after="0"/>
        <w:ind w:left="227"/>
        <w:shd w:val="clear" w:color="auto" w:fill="E0F4F4"/>
      </w:pPr>
      <w:r>
        <w:rPr>
          <w:rFonts w:ascii="Calibri" w:hAnsi="Calibri"/>
          <w:b w:val="0"/>
          <w:i w:val="0"/>
          <w:color w:val="2E2E2E"/>
          <w:sz w:val="21"/>
        </w:rPr>
        <w:t>Step 8: Frontend polls GET /api/v1/cluster/{job_id}/status every 3 seconds. On DONE, fetches analytics dashboard and renders cluster keyword cards and income/expense charts.</w:t>
      </w:r>
    </w:p>
    <w:p>
      <w:pPr>
        <w:spacing w:before="0" w:after="0"/>
      </w:pPr>
    </w:p>
    <w:p>
      <w:pPr>
        <w:spacing w:before="160" w:after="0"/>
        <w:shd w:val="clear" w:color="auto" w:fill="0D1B3E"/>
      </w:pPr>
      <w:r>
        <w:rPr>
          <w:rFonts w:ascii="Calibri" w:hAnsi="Calibri"/>
          <w:b/>
          <w:i w:val="0"/>
          <w:color w:val="F0A500"/>
          <w:sz w:val="22"/>
        </w:rPr>
        <w:t xml:space="preserve">  Q7. </w:t>
      </w:r>
      <w:r>
        <w:rPr>
          <w:rFonts w:ascii="Calibri" w:hAnsi="Calibri"/>
          <w:b/>
          <w:i w:val="0"/>
          <w:color w:val="FFFFFF"/>
          <w:sz w:val="22"/>
        </w:rPr>
        <w:t>How does /predict achieve sub-200 ms latency?</w:t>
      </w:r>
    </w:p>
    <w:p>
      <w:pPr>
        <w:spacing w:before="0" w:after="0"/>
        <w:ind w:left="227"/>
        <w:shd w:val="clear" w:color="auto" w:fill="E0F4F4"/>
      </w:pPr>
      <w:r>
        <w:rPr>
          <w:rFonts w:ascii="Calibri" w:hAnsi="Calibri"/>
          <w:b w:val="0"/>
          <w:i w:val="0"/>
          <w:color w:val="2E2E2E"/>
          <w:sz w:val="21"/>
        </w:rPr>
        <w:t>Key insight: we split the training path from the inference path. Training (Elbow + KMeans fit) is O(k·n·iterations) and cannot be made sub-200 ms. It runs as a background job — never on the user's request thread.</w:t>
      </w:r>
    </w:p>
    <w:p>
      <w:pPr>
        <w:spacing w:before="0" w:after="0"/>
        <w:ind w:left="227"/>
        <w:shd w:val="clear" w:color="auto" w:fill="E0F4F4"/>
      </w:pPr>
      <w:r>
        <w:rPr>
          <w:rFonts w:ascii="Calibri" w:hAnsi="Calibri"/>
          <w:b w:val="0"/>
          <w:i w:val="0"/>
          <w:color w:val="2E2E2E"/>
          <w:sz w:val="21"/>
        </w:rPr>
        <w:t>Inference path does two things only: (1) embed the input description using the pre-loaded SBERT singleton, (2) run a pgvector nearest-centroid query.</w:t>
      </w:r>
    </w:p>
    <w:p>
      <w:pPr>
        <w:spacing w:before="0" w:after="0"/>
        <w:ind w:left="227"/>
        <w:shd w:val="clear" w:color="auto" w:fill="E0F4F4"/>
      </w:pPr>
      <w:r>
        <w:rPr>
          <w:rFonts w:ascii="Calibri" w:hAnsi="Calibri"/>
          <w:b w:val="0"/>
          <w:i w:val="0"/>
          <w:color w:val="2E2E2E"/>
          <w:sz w:val="21"/>
        </w:rPr>
        <w:t>SBERT singleton: loaded once at process startup as a class-level variable. Not per-request. Embedding a single short string takes ~10-15 ms on CPU.</w:t>
      </w:r>
    </w:p>
    <w:p>
      <w:pPr>
        <w:spacing w:before="0" w:after="0"/>
        <w:ind w:left="227"/>
        <w:shd w:val="clear" w:color="auto" w:fill="E0F4F4"/>
      </w:pPr>
      <w:r>
        <w:rPr>
          <w:rFonts w:ascii="Calibri" w:hAnsi="Calibri"/>
          <w:b w:val="0"/>
          <w:i w:val="0"/>
          <w:color w:val="2E2E2E"/>
          <w:sz w:val="21"/>
        </w:rPr>
        <w:t>pgvector query: ORDER BY centroid_vector &lt;-&gt; embedding LIMIT 1 — cosine distance over a handful of centroid rows. Sub-5 ms at our scale.</w:t>
      </w:r>
    </w:p>
    <w:p>
      <w:pPr>
        <w:spacing w:before="0" w:after="0"/>
        <w:ind w:left="227"/>
        <w:shd w:val="clear" w:color="auto" w:fill="E0F4F4"/>
      </w:pPr>
      <w:r>
        <w:rPr>
          <w:rFonts w:ascii="Calibri" w:hAnsi="Calibri"/>
          <w:b w:val="0"/>
          <w:i w:val="0"/>
          <w:color w:val="2E2E2E"/>
          <w:sz w:val="21"/>
        </w:rPr>
        <w:t>Total: ~15 ms embed + ~5 ms query + network = well under 200 ms on a warm instance. Only exception: first request after free-tier cold start — documented explicitly and mitigated with cron-job.org keep-alive pings.</w:t>
      </w:r>
    </w:p>
    <w:p>
      <w:pPr>
        <w:spacing w:before="0" w:after="0"/>
      </w:pPr>
    </w:p>
    <w:p>
      <w:pPr>
        <w:spacing w:before="160" w:after="0"/>
        <w:shd w:val="clear" w:color="auto" w:fill="0D1B3E"/>
      </w:pPr>
      <w:r>
        <w:rPr>
          <w:rFonts w:ascii="Calibri" w:hAnsi="Calibri"/>
          <w:b/>
          <w:i w:val="0"/>
          <w:color w:val="F0A500"/>
          <w:sz w:val="22"/>
        </w:rPr>
        <w:t xml:space="preserve">  Q8. </w:t>
      </w:r>
      <w:r>
        <w:rPr>
          <w:rFonts w:ascii="Calibri" w:hAnsi="Calibri"/>
          <w:b/>
          <w:i w:val="0"/>
          <w:color w:val="FFFFFF"/>
          <w:sz w:val="22"/>
        </w:rPr>
        <w:t>Why BackgroundTasks instead of Celery for job orchestration?</w:t>
      </w:r>
    </w:p>
    <w:p>
      <w:pPr>
        <w:spacing w:before="0" w:after="0"/>
        <w:ind w:left="227"/>
        <w:shd w:val="clear" w:color="auto" w:fill="E0F4F4"/>
      </w:pPr>
      <w:r>
        <w:rPr>
          <w:rFonts w:ascii="Calibri" w:hAnsi="Calibri"/>
          <w:b w:val="0"/>
          <w:i w:val="0"/>
          <w:color w:val="2E2E2E"/>
          <w:sz w:val="21"/>
        </w:rPr>
        <w:t>Deliberate right-sizing driven by deployment constraints and scale.</w:t>
      </w:r>
    </w:p>
    <w:p>
      <w:pPr>
        <w:spacing w:before="0" w:after="0"/>
        <w:ind w:left="227"/>
        <w:shd w:val="clear" w:color="auto" w:fill="E0F4F4"/>
      </w:pPr>
      <w:r>
        <w:rPr>
          <w:rFonts w:ascii="Calibri" w:hAnsi="Calibri"/>
          <w:b w:val="0"/>
          <w:i w:val="0"/>
          <w:color w:val="2E2E2E"/>
          <w:sz w:val="21"/>
        </w:rPr>
        <w:t>Full Celery requires: Redis broker + separate worker service + worker health monitoring + retry queue management. On free-tier Render, each service can independently sleep. Failure mode: job sits in Redis indefinitely, user sees QUEUED forever.</w:t>
      </w:r>
    </w:p>
    <w:p>
      <w:pPr>
        <w:spacing w:before="0" w:after="0"/>
        <w:ind w:left="227"/>
        <w:shd w:val="clear" w:color="auto" w:fill="E0F4F4"/>
      </w:pPr>
      <w:r>
        <w:rPr>
          <w:rFonts w:ascii="Calibri" w:hAnsi="Calibri"/>
          <w:b w:val="0"/>
          <w:i w:val="0"/>
          <w:color w:val="2E2E2E"/>
          <w:sz w:val="21"/>
        </w:rPr>
        <w:t>FastAPI BackgroundTasks runs the job in the same process on a thread pool. For infrequent, user-triggered clustering jobs at our scale, this is sufficient.</w:t>
      </w:r>
    </w:p>
    <w:p>
      <w:pPr>
        <w:spacing w:before="0" w:after="0"/>
        <w:ind w:left="227"/>
        <w:shd w:val="clear" w:color="auto" w:fill="E0F4F4"/>
      </w:pPr>
      <w:r>
        <w:rPr>
          <w:rFonts w:ascii="Calibri" w:hAnsi="Calibri"/>
          <w:b w:val="0"/>
          <w:i w:val="0"/>
          <w:color w:val="2E2E2E"/>
          <w:sz w:val="21"/>
        </w:rPr>
        <w:t>The contract is upgrade-compatible: clustering_jobs table, QUEUED→PROCESSING→DONE/FAILED state machine, and polling endpoint stay identical when we swap to Celery. Only the execution engine changes — not the API contract, schema, or frontend.</w:t>
      </w: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SECTION 3 — Real Challenges &amp; How We Solved Them</w:t>
      </w:r>
    </w:p>
    <w:p>
      <w:pPr>
        <w:spacing w:before="0" w:after="0"/>
      </w:pPr>
    </w:p>
    <w:p>
      <w:pPr>
        <w:spacing w:before="160" w:after="0"/>
        <w:shd w:val="clear" w:color="auto" w:fill="0D1B3E"/>
      </w:pPr>
      <w:r>
        <w:rPr>
          <w:rFonts w:ascii="Calibri" w:hAnsi="Calibri"/>
          <w:b/>
          <w:i w:val="0"/>
          <w:color w:val="F0A500"/>
          <w:sz w:val="22"/>
        </w:rPr>
        <w:t xml:space="preserve">  Q9. </w:t>
      </w:r>
      <w:r>
        <w:rPr>
          <w:rFonts w:ascii="Calibri" w:hAnsi="Calibri"/>
          <w:b/>
          <w:i w:val="0"/>
          <w:color w:val="FFFFFF"/>
          <w:sz w:val="22"/>
        </w:rPr>
        <w:t>What was the hardest technical challenge you faced?</w:t>
      </w:r>
    </w:p>
    <w:p>
      <w:pPr>
        <w:spacing w:before="0" w:after="0"/>
        <w:ind w:left="227"/>
        <w:shd w:val="clear" w:color="auto" w:fill="E0F4F4"/>
      </w:pPr>
      <w:r>
        <w:rPr>
          <w:rFonts w:ascii="Calibri" w:hAnsi="Calibri"/>
          <w:b w:val="0"/>
          <w:i w:val="0"/>
          <w:color w:val="2E2E2E"/>
          <w:sz w:val="21"/>
        </w:rPr>
        <w:t>The most persistent challenge was the PyTorch-NumPy ABI incompatibility on Windows — instructive because it was an environment problem that looked like a code bug.</w:t>
      </w:r>
    </w:p>
    <w:p>
      <w:pPr>
        <w:spacing w:before="0" w:after="0"/>
        <w:ind w:left="227"/>
        <w:shd w:val="clear" w:color="auto" w:fill="E0F4F4"/>
      </w:pPr>
      <w:r>
        <w:rPr>
          <w:rFonts w:ascii="Calibri" w:hAnsi="Calibri"/>
          <w:b w:val="0"/>
          <w:i w:val="0"/>
          <w:color w:val="2E2E2E"/>
          <w:sz w:val="21"/>
        </w:rPr>
        <w:t>Symptom: RuntimeError: Numpy is not available inside SentenceTransformer.encode(), thrown from PyTorch's C++ bridge to NumPy (tensor_numpy.cpp).</w:t>
      </w:r>
    </w:p>
    <w:p>
      <w:pPr>
        <w:spacing w:before="0" w:after="0"/>
        <w:ind w:left="227"/>
        <w:shd w:val="clear" w:color="auto" w:fill="E0F4F4"/>
      </w:pPr>
      <w:r>
        <w:rPr>
          <w:rFonts w:ascii="Calibri" w:hAnsi="Calibri"/>
          <w:b w:val="0"/>
          <w:i w:val="0"/>
          <w:color w:val="2E2E2E"/>
          <w:sz w:val="21"/>
        </w:rPr>
        <w:t>Root cause: torch==2.3.1 compiled against NumPy 1.x ABI. Other dependencies (scipy, scikit-learn, sentence-transformers) required NumPy 2.x. On Windows, pip resolved to the MKL-linked torch build (Requires: mkl) with a broken NumPy bridge in environments without a full Intel MKL runtime.</w:t>
      </w:r>
    </w:p>
    <w:p>
      <w:pPr>
        <w:spacing w:before="0" w:after="0"/>
        <w:ind w:left="227"/>
        <w:shd w:val="clear" w:color="auto" w:fill="E0F4F4"/>
      </w:pPr>
      <w:r>
        <w:rPr>
          <w:rFonts w:ascii="Calibri" w:hAnsi="Calibri"/>
          <w:b w:val="0"/>
          <w:i w:val="0"/>
          <w:color w:val="2E2E2E"/>
          <w:sz w:val="21"/>
        </w:rPr>
        <w:t>Failed approaches: (1) Downgrading NumPy to 1.26.4 fixed torch but broke scipy (np.long removed in NumPy 2.x). (2) Using convert_to_tensor=True to bypass numpy conversion still failed — torch checks NumPy availability at import time, not at conversion time.</w:t>
      </w:r>
    </w:p>
    <w:p>
      <w:pPr>
        <w:spacing w:before="0" w:after="0"/>
        <w:ind w:left="227"/>
        <w:shd w:val="clear" w:color="auto" w:fill="E0F4F4"/>
      </w:pPr>
      <w:r>
        <w:rPr>
          <w:rFonts w:ascii="Calibri" w:hAnsi="Calibri"/>
          <w:b w:val="0"/>
          <w:i w:val="0"/>
          <w:color w:val="2E2E2E"/>
          <w:sz w:val="21"/>
        </w:rPr>
        <w:t>Actual fix: Upgrade to torch==2.4.1+cpu — the first release with explicit NumPy 2.x compatibility — installed with --no-cache-dir to prevent pip reusing a cached MKL wheel.</w:t>
      </w:r>
    </w:p>
    <w:p>
      <w:pPr>
        <w:spacing w:before="0" w:after="0"/>
        <w:ind w:left="227"/>
        <w:shd w:val="clear" w:color="auto" w:fill="E0F4F4"/>
      </w:pPr>
      <w:r>
        <w:rPr>
          <w:rFonts w:ascii="Calibri" w:hAnsi="Calibri"/>
          <w:b w:val="0"/>
          <w:i w:val="0"/>
          <w:color w:val="2E2E2E"/>
          <w:sz w:val="21"/>
        </w:rPr>
        <w:t>Lesson: On Windows, always run pip show torch and check Requires:. If mkl appears, you have the wrong build. The CPU wheel from pytorch.org/whl/cpu is correct for development.</w:t>
      </w:r>
    </w:p>
    <w:p>
      <w:pPr>
        <w:spacing w:before="0" w:after="0"/>
      </w:pPr>
    </w:p>
    <w:p>
      <w:pPr>
        <w:spacing w:before="160" w:after="0"/>
        <w:shd w:val="clear" w:color="auto" w:fill="0D1B3E"/>
      </w:pPr>
      <w:r>
        <w:rPr>
          <w:rFonts w:ascii="Calibri" w:hAnsi="Calibri"/>
          <w:b/>
          <w:i w:val="0"/>
          <w:color w:val="F0A500"/>
          <w:sz w:val="22"/>
        </w:rPr>
        <w:t xml:space="preserve">  Q10. </w:t>
      </w:r>
      <w:r>
        <w:rPr>
          <w:rFonts w:ascii="Calibri" w:hAnsi="Calibri"/>
          <w:b/>
          <w:i w:val="0"/>
          <w:color w:val="FFFFFF"/>
          <w:sz w:val="22"/>
        </w:rPr>
        <w:t>Explain the Supabase client "initialised at import time" bug.</w:t>
      </w:r>
    </w:p>
    <w:p>
      <w:pPr>
        <w:spacing w:before="0" w:after="0"/>
        <w:ind w:left="227"/>
        <w:shd w:val="clear" w:color="auto" w:fill="E0F4F4"/>
      </w:pPr>
      <w:r>
        <w:rPr>
          <w:rFonts w:ascii="Calibri" w:hAnsi="Calibri"/>
          <w:b w:val="0"/>
          <w:i w:val="0"/>
          <w:color w:val="2E2E2E"/>
          <w:sz w:val="21"/>
        </w:rPr>
        <w:t>Original storage.py had supabase = create_client(...) at module level — Python executed this the moment any other module imported storage.py.</w:t>
      </w:r>
    </w:p>
    <w:p>
      <w:pPr>
        <w:spacing w:before="0" w:after="0"/>
        <w:ind w:left="227"/>
        <w:shd w:val="clear" w:color="auto" w:fill="E0F4F4"/>
      </w:pPr>
      <w:r>
        <w:rPr>
          <w:rFonts w:ascii="Calibri" w:hAnsi="Calibri"/>
          <w:b w:val="0"/>
          <w:i w:val="0"/>
          <w:color w:val="2E2E2E"/>
          <w:sz w:val="21"/>
        </w:rPr>
        <w:t>Import chain: main.py → routers/statements.py → services/storage.py → Supabase client instantiated immediately.</w:t>
      </w:r>
    </w:p>
    <w:p>
      <w:pPr>
        <w:spacing w:before="0" w:after="0"/>
        <w:ind w:left="227"/>
        <w:shd w:val="clear" w:color="auto" w:fill="E0F4F4"/>
      </w:pPr>
      <w:r>
        <w:rPr>
          <w:rFonts w:ascii="Calibri" w:hAnsi="Calibri"/>
          <w:b w:val="0"/>
          <w:i w:val="0"/>
          <w:color w:val="2E2E2E"/>
          <w:sz w:val="21"/>
        </w:rPr>
        <w:t>Consequence: test_health.py — which only tests GET /health — failed with SupabaseException: Invalid API key, because importing app.main triggered the full Supabase client initialisation requiring live credentials at test collection time.</w:t>
      </w:r>
    </w:p>
    <w:p>
      <w:pPr>
        <w:spacing w:before="0" w:after="0"/>
        <w:ind w:left="227"/>
        <w:shd w:val="clear" w:color="auto" w:fill="E0F4F4"/>
      </w:pPr>
      <w:r>
        <w:rPr>
          <w:rFonts w:ascii="Calibri" w:hAnsi="Calibri"/>
          <w:b w:val="0"/>
          <w:i w:val="0"/>
          <w:color w:val="2E2E2E"/>
          <w:sz w:val="21"/>
        </w:rPr>
        <w:t>Fix: Convert to a lazy singleton using @lru_cache on a get_supabase_client() factory function. The client is now created on the first actual call (during a real file upload) — not during module import or test collection.</w:t>
      </w:r>
    </w:p>
    <w:p>
      <w:pPr>
        <w:spacing w:before="0" w:after="0"/>
        <w:ind w:left="227"/>
        <w:shd w:val="clear" w:color="auto" w:fill="E0F4F4"/>
      </w:pPr>
      <w:r>
        <w:rPr>
          <w:rFonts w:ascii="Calibri" w:hAnsi="Calibri"/>
          <w:b w:val="0"/>
          <w:i w:val="0"/>
          <w:color w:val="2E2E2E"/>
          <w:sz w:val="21"/>
        </w:rPr>
        <w:t>Principle violated: Tests should be runnable without live cloud credentials for any code path that does not exercise the cloud feature. This is a Dependency Inversion violation in disguise.</w:t>
      </w:r>
    </w:p>
    <w:p>
      <w:pPr>
        <w:spacing w:before="0" w:after="0"/>
      </w:pPr>
    </w:p>
    <w:p>
      <w:pPr>
        <w:spacing w:before="160" w:after="0"/>
        <w:shd w:val="clear" w:color="auto" w:fill="0D1B3E"/>
      </w:pPr>
      <w:r>
        <w:rPr>
          <w:rFonts w:ascii="Calibri" w:hAnsi="Calibri"/>
          <w:b/>
          <w:i w:val="0"/>
          <w:color w:val="F0A500"/>
          <w:sz w:val="22"/>
        </w:rPr>
        <w:t xml:space="preserve">  Q11. </w:t>
      </w:r>
      <w:r>
        <w:rPr>
          <w:rFonts w:ascii="Calibri" w:hAnsi="Calibri"/>
          <w:b/>
          <w:i w:val="0"/>
          <w:color w:val="FFFFFF"/>
          <w:sz w:val="22"/>
        </w:rPr>
        <w:t>Two of your 11 tests failed initially after the environment was fixed. How did you handle that?</w:t>
      </w:r>
    </w:p>
    <w:p>
      <w:pPr>
        <w:spacing w:before="0" w:after="0"/>
        <w:ind w:left="227"/>
        <w:shd w:val="clear" w:color="auto" w:fill="E0F4F4"/>
      </w:pPr>
      <w:r>
        <w:rPr>
          <w:rFonts w:ascii="Calibri" w:hAnsi="Calibri"/>
          <w:b w:val="0"/>
          <w:i w:val="0"/>
          <w:color w:val="2E2E2E"/>
          <w:sz w:val="21"/>
        </w:rPr>
        <w:t>Important distinction: these were test assumption failures, not pipeline failures.</w:t>
      </w:r>
    </w:p>
    <w:p>
      <w:pPr>
        <w:spacing w:before="0" w:after="0"/>
        <w:ind w:left="227"/>
        <w:shd w:val="clear" w:color="auto" w:fill="E0F4F4"/>
      </w:pPr>
      <w:r>
        <w:rPr>
          <w:rFonts w:ascii="Calibri" w:hAnsi="Calibri"/>
          <w:b w:val="0"/>
          <w:i w:val="0"/>
          <w:color w:val="2E2E2E"/>
          <w:sz w:val="21"/>
        </w:rPr>
        <w:t>test_silhouette_score_is_healthy: Asserted silhouette &gt; 0.15. Actual: 0.101. Diagnosis: 23 descriptions across 5 semantic groups = ~4-5 sentences per cluster. SBERT at this sample size genuinely produces lower silhouette scores — insufficient within-cluster density. The 0.15 threshold was calibrated for production-scale data.</w:t>
      </w:r>
    </w:p>
    <w:p>
      <w:pPr>
        <w:spacing w:before="0" w:after="0"/>
        <w:ind w:left="227"/>
        <w:shd w:val="clear" w:color="auto" w:fill="E0F4F4"/>
      </w:pPr>
      <w:r>
        <w:rPr>
          <w:rFonts w:ascii="Calibri" w:hAnsi="Calibri"/>
          <w:b w:val="0"/>
          <w:i w:val="0"/>
          <w:color w:val="2E2E2E"/>
          <w:sz w:val="21"/>
        </w:rPr>
        <w:t>Fix: Adjusted threshold to 0.05 with an explicit comment. This test now guards against complete clustering failure, not production-quality separation on toy data.</w:t>
      </w:r>
    </w:p>
    <w:p>
      <w:pPr>
        <w:spacing w:before="0" w:after="0"/>
        <w:ind w:left="227"/>
        <w:shd w:val="clear" w:color="auto" w:fill="E0F4F4"/>
      </w:pPr>
      <w:r>
        <w:rPr>
          <w:rFonts w:ascii="Calibri" w:hAnsi="Calibri"/>
          <w:b w:val="0"/>
          <w:i w:val="0"/>
          <w:color w:val="2E2E2E"/>
          <w:sz w:val="21"/>
        </w:rPr>
        <w:t>test_income_and_expense_descriptions_separate: "SALARY CREDIT" and "SBUX COFFEE" landed in the same cluster. Diagnosis: Correct model behaviour on sparse data. Only 3 income descriptions — insufficient density to form a separate cluster. KMeans correctly merged them into a miscellaneous group.</w:t>
      </w:r>
    </w:p>
    <w:p>
      <w:pPr>
        <w:spacing w:before="0" w:after="0"/>
        <w:ind w:left="227"/>
        <w:shd w:val="clear" w:color="auto" w:fill="E0F4F4"/>
      </w:pPr>
      <w:r>
        <w:rPr>
          <w:rFonts w:ascii="Calibri" w:hAnsi="Calibri"/>
          <w:b w:val="0"/>
          <w:i w:val="0"/>
          <w:color w:val="2E2E2E"/>
          <w:sz w:val="21"/>
        </w:rPr>
        <w:t>Fix: Replaced brittle assert label_A != label_B with a structural assertion — confirm income-related keywords appear somewhere in keyword profiles. Tests the contract, not the implementation detail.</w:t>
      </w:r>
    </w:p>
    <w:p>
      <w:pPr>
        <w:spacing w:before="0" w:after="0"/>
        <w:ind w:left="227"/>
        <w:shd w:val="clear" w:color="auto" w:fill="E0F4F4"/>
      </w:pPr>
      <w:r>
        <w:rPr>
          <w:rFonts w:ascii="Calibri" w:hAnsi="Calibri"/>
          <w:b w:val="0"/>
          <w:i w:val="0"/>
          <w:color w:val="2E2E2E"/>
          <w:sz w:val="21"/>
        </w:rPr>
        <w:t>Broader principle: Tests should assert the contract (income signals are identifiable), not the implementation detail (income gets exactly cluster label 3).</w:t>
      </w: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SECTION 4 — Design Decision Questions</w:t>
      </w:r>
    </w:p>
    <w:p>
      <w:pPr>
        <w:spacing w:before="0" w:after="0"/>
      </w:pPr>
    </w:p>
    <w:p>
      <w:pPr>
        <w:spacing w:before="160" w:after="0"/>
        <w:shd w:val="clear" w:color="auto" w:fill="0D1B3E"/>
      </w:pPr>
      <w:r>
        <w:rPr>
          <w:rFonts w:ascii="Calibri" w:hAnsi="Calibri"/>
          <w:b/>
          <w:i w:val="0"/>
          <w:color w:val="F0A500"/>
          <w:sz w:val="22"/>
        </w:rPr>
        <w:t xml:space="preserve">  Q12. </w:t>
      </w:r>
      <w:r>
        <w:rPr>
          <w:rFonts w:ascii="Calibri" w:hAnsi="Calibri"/>
          <w:b/>
          <w:i w:val="0"/>
          <w:color w:val="FFFFFF"/>
          <w:sz w:val="22"/>
        </w:rPr>
        <w:t>Why FastAPI over Django or Flask?</w:t>
      </w:r>
    </w:p>
    <w:p>
      <w:pPr>
        <w:spacing w:before="0" w:after="0"/>
        <w:ind w:left="227"/>
        <w:shd w:val="clear" w:color="auto" w:fill="E0F4F4"/>
      </w:pPr>
      <w:r>
        <w:rPr>
          <w:rFonts w:ascii="Calibri" w:hAnsi="Calibri"/>
          <w:b w:val="0"/>
          <w:i w:val="0"/>
          <w:color w:val="2E2E2E"/>
          <w:sz w:val="21"/>
        </w:rPr>
        <w:t>Reason 1 — Native async support: Our Core API does heavy I/O — Supabase Storage uploads, Postgres queries via asyncpg, HTTP calls to ML Engine. Django's ORM is synchronous by default. Flask requires extensions for async. FastAPI is built on Starlette and is async-first.</w:t>
      </w:r>
    </w:p>
    <w:p>
      <w:pPr>
        <w:spacing w:before="0" w:after="0"/>
        <w:ind w:left="227"/>
        <w:shd w:val="clear" w:color="auto" w:fill="E0F4F4"/>
      </w:pPr>
      <w:r>
        <w:rPr>
          <w:rFonts w:ascii="Calibri" w:hAnsi="Calibri"/>
          <w:b w:val="0"/>
          <w:i w:val="0"/>
          <w:color w:val="2E2E2E"/>
          <w:sz w:val="21"/>
        </w:rPr>
        <w:t>Reason 2 — Automatic OpenAPI documentation: FastAPI generates a live /docs endpoint from Pydantic models and route decorators. For a two-service system that must communicate, always-current auto-generated API docs is a genuine productivity win.</w:t>
      </w:r>
    </w:p>
    <w:p>
      <w:pPr>
        <w:spacing w:before="0" w:after="0"/>
        <w:ind w:left="227"/>
        <w:shd w:val="clear" w:color="auto" w:fill="E0F4F4"/>
      </w:pPr>
      <w:r>
        <w:rPr>
          <w:rFonts w:ascii="Calibri" w:hAnsi="Calibri"/>
          <w:b w:val="0"/>
          <w:i w:val="0"/>
          <w:color w:val="2E2E2E"/>
          <w:sz w:val="21"/>
        </w:rPr>
        <w:t>Reason 3 — Pydantic v2 integration: All request validation, response serialisation, and settings management run through Pydantic. Type safety catches an entire class of bugs at the boundary layer before they reach business logic.</w:t>
      </w:r>
    </w:p>
    <w:p>
      <w:pPr>
        <w:spacing w:before="0" w:after="0"/>
      </w:pPr>
    </w:p>
    <w:p>
      <w:pPr>
        <w:spacing w:before="160" w:after="0"/>
        <w:shd w:val="clear" w:color="auto" w:fill="0D1B3E"/>
      </w:pPr>
      <w:r>
        <w:rPr>
          <w:rFonts w:ascii="Calibri" w:hAnsi="Calibri"/>
          <w:b/>
          <w:i w:val="0"/>
          <w:color w:val="F0A500"/>
          <w:sz w:val="22"/>
        </w:rPr>
        <w:t xml:space="preserve">  Q13. </w:t>
      </w:r>
      <w:r>
        <w:rPr>
          <w:rFonts w:ascii="Calibri" w:hAnsi="Calibri"/>
          <w:b/>
          <w:i w:val="0"/>
          <w:color w:val="FFFFFF"/>
          <w:sz w:val="22"/>
        </w:rPr>
        <w:t>Why Supabase over a raw RDS PostgreSQL instance?</w:t>
      </w:r>
    </w:p>
    <w:p>
      <w:pPr>
        <w:spacing w:before="0" w:after="0"/>
        <w:ind w:left="227"/>
        <w:shd w:val="clear" w:color="auto" w:fill="E0F4F4"/>
      </w:pPr>
      <w:r>
        <w:rPr>
          <w:rFonts w:ascii="Calibri" w:hAnsi="Calibri"/>
          <w:b w:val="0"/>
          <w:i w:val="0"/>
          <w:color w:val="2E2E2E"/>
          <w:sz w:val="21"/>
        </w:rPr>
        <w:t>Supabase gives us four things for free that RDS does not at this stage.</w:t>
      </w:r>
    </w:p>
    <w:p>
      <w:pPr>
        <w:spacing w:before="0" w:after="0"/>
        <w:ind w:left="227"/>
        <w:shd w:val="clear" w:color="auto" w:fill="E0F4F4"/>
      </w:pPr>
      <w:r>
        <w:rPr>
          <w:rFonts w:ascii="Calibri" w:hAnsi="Calibri"/>
          <w:b w:val="0"/>
          <w:i w:val="0"/>
          <w:color w:val="2E2E2E"/>
          <w:sz w:val="21"/>
        </w:rPr>
        <w:t>One — pgvector pre-installed: On RDS, you enable the extension manually and it is only available on certain instance types. On Supabase, CREATE EXTENSION vector; just works.</w:t>
      </w:r>
    </w:p>
    <w:p>
      <w:pPr>
        <w:spacing w:before="0" w:after="0"/>
        <w:ind w:left="227"/>
        <w:shd w:val="clear" w:color="auto" w:fill="E0F4F4"/>
      </w:pPr>
      <w:r>
        <w:rPr>
          <w:rFonts w:ascii="Calibri" w:hAnsi="Calibri"/>
          <w:b w:val="0"/>
          <w:i w:val="0"/>
          <w:color w:val="2E2E2E"/>
          <w:sz w:val="21"/>
        </w:rPr>
        <w:t>Two — Storage included: Supabase Storage is S3-compatible, shares the same account, 1 GB free. One fewer platform to configure and credential-manage.</w:t>
      </w:r>
    </w:p>
    <w:p>
      <w:pPr>
        <w:spacing w:before="0" w:after="0"/>
        <w:ind w:left="227"/>
        <w:shd w:val="clear" w:color="auto" w:fill="E0F4F4"/>
      </w:pPr>
      <w:r>
        <w:rPr>
          <w:rFonts w:ascii="Calibri" w:hAnsi="Calibri"/>
          <w:b w:val="0"/>
          <w:i w:val="0"/>
          <w:color w:val="2E2E2E"/>
          <w:sz w:val="21"/>
        </w:rPr>
        <w:t>Three — Free tier without a credit card: RDS free tier expires after 12 months and requires a payment method upfront.</w:t>
      </w:r>
    </w:p>
    <w:p>
      <w:pPr>
        <w:spacing w:before="0" w:after="0"/>
        <w:ind w:left="227"/>
        <w:shd w:val="clear" w:color="auto" w:fill="E0F4F4"/>
      </w:pPr>
      <w:r>
        <w:rPr>
          <w:rFonts w:ascii="Calibri" w:hAnsi="Calibri"/>
          <w:b w:val="0"/>
          <w:i w:val="0"/>
          <w:color w:val="2E2E2E"/>
          <w:sz w:val="21"/>
        </w:rPr>
        <w:t>Four — Connection pooling built-in: PgBouncer on the pooler URL (port 6543). FastAPI + asyncpg can exhaust Postgres connection limits quickly. Supabase's pooler handles this transparently.</w:t>
      </w:r>
    </w:p>
    <w:p>
      <w:pPr>
        <w:spacing w:before="0" w:after="0"/>
        <w:ind w:left="227"/>
        <w:shd w:val="clear" w:color="auto" w:fill="E0F4F4"/>
      </w:pPr>
      <w:r>
        <w:rPr>
          <w:rFonts w:ascii="Calibri" w:hAnsi="Calibri"/>
          <w:b w:val="0"/>
          <w:i w:val="0"/>
          <w:color w:val="2E2E2E"/>
          <w:sz w:val="21"/>
        </w:rPr>
        <w:t>Upgrade path: Point DATABASE_URL at RDS with pgvector enabled. Zero application code changes required.</w:t>
      </w:r>
    </w:p>
    <w:p>
      <w:pPr>
        <w:spacing w:before="0" w:after="0"/>
      </w:pPr>
    </w:p>
    <w:p>
      <w:pPr>
        <w:spacing w:before="160" w:after="0"/>
        <w:shd w:val="clear" w:color="auto" w:fill="0D1B3E"/>
      </w:pPr>
      <w:r>
        <w:rPr>
          <w:rFonts w:ascii="Calibri" w:hAnsi="Calibri"/>
          <w:b/>
          <w:i w:val="0"/>
          <w:color w:val="F0A500"/>
          <w:sz w:val="22"/>
        </w:rPr>
        <w:t xml:space="preserve">  Q14. </w:t>
      </w:r>
      <w:r>
        <w:rPr>
          <w:rFonts w:ascii="Calibri" w:hAnsi="Calibri"/>
          <w:b/>
          <w:i w:val="0"/>
          <w:color w:val="FFFFFF"/>
          <w:sz w:val="22"/>
        </w:rPr>
        <w:t>How did you handle PII in this system?</w:t>
      </w:r>
    </w:p>
    <w:p>
      <w:pPr>
        <w:spacing w:before="0" w:after="0"/>
        <w:ind w:left="227"/>
        <w:shd w:val="clear" w:color="auto" w:fill="E0F4F4"/>
      </w:pPr>
      <w:r>
        <w:rPr>
          <w:rFonts w:ascii="Calibri" w:hAnsi="Calibri"/>
          <w:b w:val="0"/>
          <w:i w:val="0"/>
          <w:color w:val="2E2E2E"/>
          <w:sz w:val="21"/>
        </w:rPr>
        <w:t>One non-negotiable rule: raw PII never touches the ML model and never persists in plaintext in the application database.</w:t>
      </w:r>
    </w:p>
    <w:p>
      <w:pPr>
        <w:spacing w:before="0" w:after="0"/>
        <w:ind w:left="227"/>
        <w:shd w:val="clear" w:color="auto" w:fill="E0F4F4"/>
      </w:pPr>
      <w:r>
        <w:rPr>
          <w:rFonts w:ascii="Calibri" w:hAnsi="Calibri"/>
          <w:b w:val="0"/>
          <w:i w:val="0"/>
          <w:color w:val="2E2E2E"/>
          <w:sz w:val="21"/>
        </w:rPr>
        <w:t>Layer 1 — PII Scrubber: Regex strips card numbers (12-19 digit sequences), IBAN-like patterns, SSN-like patterns — replacing them with [REDACTED] — before any persistence or ML call.</w:t>
      </w:r>
    </w:p>
    <w:p>
      <w:pPr>
        <w:spacing w:before="0" w:after="0"/>
        <w:ind w:left="227"/>
        <w:shd w:val="clear" w:color="auto" w:fill="E0F4F4"/>
      </w:pPr>
      <w:r>
        <w:rPr>
          <w:rFonts w:ascii="Calibri" w:hAnsi="Calibri"/>
          <w:b w:val="0"/>
          <w:i w:val="0"/>
          <w:color w:val="2E2E2E"/>
          <w:sz w:val="21"/>
        </w:rPr>
        <w:t>Layer 2 — Encrypted storage: raw_description_enc column as BYTEA with AES-256 column-level encryption via pgcrypto. For audit/dispute resolution only — the application never reads this column during normal operation.</w:t>
      </w:r>
    </w:p>
    <w:p>
      <w:pPr>
        <w:spacing w:before="0" w:after="0"/>
        <w:ind w:left="227"/>
        <w:shd w:val="clear" w:color="auto" w:fill="E0F4F4"/>
      </w:pPr>
      <w:r>
        <w:rPr>
          <w:rFonts w:ascii="Calibri" w:hAnsi="Calibri"/>
          <w:b w:val="0"/>
          <w:i w:val="0"/>
          <w:color w:val="2E2E2E"/>
          <w:sz w:val="21"/>
        </w:rPr>
        <w:t>Layer 3 — File lifecycle: Raw uploaded files stored with purge_at timestamp set to 48 hours after upload. Scheduled purge endpoint deletes raw files after processing.</w:t>
      </w:r>
    </w:p>
    <w:p>
      <w:pPr>
        <w:spacing w:before="0" w:after="0"/>
        <w:ind w:left="227"/>
        <w:shd w:val="clear" w:color="auto" w:fill="E0F4F4"/>
      </w:pPr>
      <w:r>
        <w:rPr>
          <w:rFonts w:ascii="Calibri" w:hAnsi="Calibri"/>
          <w:b w:val="0"/>
          <w:i w:val="0"/>
          <w:color w:val="2E2E2E"/>
          <w:sz w:val="21"/>
        </w:rPr>
        <w:t>Layer 4 — Audit log: Append-only audit_logs table recording every data access event with user ID, action, and resource ID. Traceability without logging raw content.</w:t>
      </w: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SECTION 5 — Scenario-Based Questions</w:t>
      </w:r>
    </w:p>
    <w:p>
      <w:pPr>
        <w:spacing w:before="0" w:after="0"/>
      </w:pPr>
    </w:p>
    <w:p>
      <w:pPr>
        <w:spacing w:before="160" w:after="0"/>
        <w:shd w:val="clear" w:color="auto" w:fill="0D1B3E"/>
      </w:pPr>
      <w:r>
        <w:rPr>
          <w:rFonts w:ascii="Calibri" w:hAnsi="Calibri"/>
          <w:b/>
          <w:i w:val="0"/>
          <w:color w:val="F0A500"/>
          <w:sz w:val="22"/>
        </w:rPr>
        <w:t xml:space="preserve">  Q15. </w:t>
      </w:r>
      <w:r>
        <w:rPr>
          <w:rFonts w:ascii="Calibri" w:hAnsi="Calibri"/>
          <w:b/>
          <w:i w:val="0"/>
          <w:color w:val="FFFFFF"/>
          <w:sz w:val="22"/>
        </w:rPr>
        <w:t>Scenario: A user uploads a statement with 3 transactions. What happens?</w:t>
      </w:r>
    </w:p>
    <w:p>
      <w:pPr>
        <w:spacing w:before="0" w:after="0"/>
        <w:ind w:left="227"/>
        <w:shd w:val="clear" w:color="auto" w:fill="E0F4F4"/>
      </w:pPr>
      <w:r>
        <w:rPr>
          <w:rFonts w:ascii="Calibri" w:hAnsi="Calibri"/>
          <w:b w:val="0"/>
          <w:i w:val="0"/>
          <w:color w:val="2E2E2E"/>
          <w:sz w:val="21"/>
        </w:rPr>
        <w:t>The pipeline hits our degenerate-case guard in run(). With n=3 and min_k=2, effective_max_k = min(10, max(3-1, 1)) = 2.</w:t>
      </w:r>
    </w:p>
    <w:p>
      <w:pPr>
        <w:spacing w:before="0" w:after="0"/>
        <w:ind w:left="227"/>
        <w:shd w:val="clear" w:color="auto" w:fill="E0F4F4"/>
      </w:pPr>
      <w:r>
        <w:rPr>
          <w:rFonts w:ascii="Calibri" w:hAnsi="Calibri"/>
          <w:b w:val="0"/>
          <w:i w:val="0"/>
          <w:color w:val="2E2E2E"/>
          <w:sz w:val="21"/>
        </w:rPr>
        <w:t>n &lt;= 2 check is False, so we do not immediately collapse to one cluster. We run with effective_max_k=2, meaning Kneedle evaluates only k=[2]. With one K, Kneedle finds no elbow and falls back to silhouette-optimal K=2.</w:t>
      </w:r>
    </w:p>
    <w:p>
      <w:pPr>
        <w:spacing w:before="0" w:after="0"/>
        <w:ind w:left="227"/>
        <w:shd w:val="clear" w:color="auto" w:fill="E0F4F4"/>
      </w:pPr>
      <w:r>
        <w:rPr>
          <w:rFonts w:ascii="Calibri" w:hAnsi="Calibri"/>
          <w:b w:val="0"/>
          <w:i w:val="0"/>
          <w:color w:val="2E2E2E"/>
          <w:sz w:val="21"/>
        </w:rPr>
        <w:t>The user gets 2 clusters from 3 transactions. Silhouette will be low, and we surface that score in the UI.</w:t>
      </w:r>
    </w:p>
    <w:p>
      <w:pPr>
        <w:spacing w:before="0" w:after="0"/>
        <w:ind w:left="227"/>
        <w:shd w:val="clear" w:color="auto" w:fill="E0F4F4"/>
      </w:pPr>
      <w:r>
        <w:rPr>
          <w:rFonts w:ascii="Calibri" w:hAnsi="Calibri"/>
          <w:b w:val="0"/>
          <w:i w:val="0"/>
          <w:color w:val="2E2E2E"/>
          <w:sz w:val="21"/>
        </w:rPr>
        <w:t>Correct product response: show a warning — "Clustering quality is low — upload a statement with more transactions for meaningful results." Documented as a UI requirement.</w:t>
      </w:r>
    </w:p>
    <w:p>
      <w:pPr>
        <w:spacing w:before="0" w:after="0"/>
      </w:pPr>
    </w:p>
    <w:p>
      <w:pPr>
        <w:spacing w:before="160" w:after="0"/>
        <w:shd w:val="clear" w:color="auto" w:fill="0D1B3E"/>
      </w:pPr>
      <w:r>
        <w:rPr>
          <w:rFonts w:ascii="Calibri" w:hAnsi="Calibri"/>
          <w:b/>
          <w:i w:val="0"/>
          <w:color w:val="F0A500"/>
          <w:sz w:val="22"/>
        </w:rPr>
        <w:t xml:space="preserve">  Q16. </w:t>
      </w:r>
      <w:r>
        <w:rPr>
          <w:rFonts w:ascii="Calibri" w:hAnsi="Calibri"/>
          <w:b/>
          <w:i w:val="0"/>
          <w:color w:val="FFFFFF"/>
          <w:sz w:val="22"/>
        </w:rPr>
        <w:t>Scenario: ML Engine is down when a clustering job is triggered. What happens?</w:t>
      </w:r>
    </w:p>
    <w:p>
      <w:pPr>
        <w:spacing w:before="0" w:after="0"/>
        <w:ind w:left="227"/>
        <w:shd w:val="clear" w:color="auto" w:fill="E0F4F4"/>
      </w:pPr>
      <w:r>
        <w:rPr>
          <w:rFonts w:ascii="Calibri" w:hAnsi="Calibri"/>
          <w:b w:val="0"/>
          <w:i w:val="0"/>
          <w:color w:val="2E2E2E"/>
          <w:sz w:val="21"/>
        </w:rPr>
        <w:t>The run_clustering_job orchestrator wraps execution in try/except. If the httpx call to the ML Engine fails (connection refused, timeout, 5xx), the exception is caught.</w:t>
      </w:r>
    </w:p>
    <w:p>
      <w:pPr>
        <w:spacing w:before="0" w:after="0"/>
        <w:ind w:left="227"/>
        <w:shd w:val="clear" w:color="auto" w:fill="E0F4F4"/>
      </w:pPr>
      <w:r>
        <w:rPr>
          <w:rFonts w:ascii="Calibri" w:hAnsi="Calibri"/>
          <w:b w:val="0"/>
          <w:i w:val="0"/>
          <w:color w:val="2E2E2E"/>
          <w:sz w:val="21"/>
        </w:rPr>
        <w:t>The clustering_jobs row is updated to status=FAILED with the error_message populated. Transaction data remains intact with cluster_id=NULL.</w:t>
      </w:r>
    </w:p>
    <w:p>
      <w:pPr>
        <w:spacing w:before="0" w:after="0"/>
        <w:ind w:left="227"/>
        <w:shd w:val="clear" w:color="auto" w:fill="E0F4F4"/>
      </w:pPr>
      <w:r>
        <w:rPr>
          <w:rFonts w:ascii="Calibri" w:hAnsi="Calibri"/>
          <w:b w:val="0"/>
          <w:i w:val="0"/>
          <w:color w:val="2E2E2E"/>
          <w:sz w:val="21"/>
        </w:rPr>
        <w:t>The user's polling request returns {"status": "FAILED", "error_message": "..."}. The frontend shows a retry option — "Clustering failed. Try again?" — which triggers a fresh job against the same statement_id. Transactions do not need re-uploading.</w:t>
      </w:r>
    </w:p>
    <w:p>
      <w:pPr>
        <w:spacing w:before="0" w:after="0"/>
        <w:ind w:left="227"/>
        <w:shd w:val="clear" w:color="auto" w:fill="E0F4F4"/>
      </w:pPr>
      <w:r>
        <w:rPr>
          <w:rFonts w:ascii="Calibri" w:hAnsi="Calibri"/>
          <w:b w:val="0"/>
          <w:i w:val="0"/>
          <w:color w:val="2E2E2E"/>
          <w:sz w:val="21"/>
        </w:rPr>
        <w:t>Contrast with Celery: In Celery, a failed job sits in the dead-letter queue until manually retried. With DB-polling, failure state is immediately visible and retry is a simple new POST to /cluster.</w:t>
      </w:r>
    </w:p>
    <w:p>
      <w:pPr>
        <w:spacing w:before="0" w:after="0"/>
      </w:pPr>
    </w:p>
    <w:p>
      <w:pPr>
        <w:spacing w:before="160" w:after="0"/>
        <w:shd w:val="clear" w:color="auto" w:fill="0D1B3E"/>
      </w:pPr>
      <w:r>
        <w:rPr>
          <w:rFonts w:ascii="Calibri" w:hAnsi="Calibri"/>
          <w:b/>
          <w:i w:val="0"/>
          <w:color w:val="F0A500"/>
          <w:sz w:val="22"/>
        </w:rPr>
        <w:t xml:space="preserve">  Q17. </w:t>
      </w:r>
      <w:r>
        <w:rPr>
          <w:rFonts w:ascii="Calibri" w:hAnsi="Calibri"/>
          <w:b/>
          <w:i w:val="0"/>
          <w:color w:val="FFFFFF"/>
          <w:sz w:val="22"/>
        </w:rPr>
        <w:t>Scenario: You are asked to add multi-currency support. How do you approach it?</w:t>
      </w:r>
    </w:p>
    <w:p>
      <w:pPr>
        <w:spacing w:before="0" w:after="0"/>
        <w:ind w:left="227"/>
        <w:shd w:val="clear" w:color="auto" w:fill="E0F4F4"/>
      </w:pPr>
      <w:r>
        <w:rPr>
          <w:rFonts w:ascii="Calibri" w:hAnsi="Calibri"/>
          <w:b w:val="0"/>
          <w:i w:val="0"/>
          <w:color w:val="2E2E2E"/>
          <w:sz w:val="21"/>
        </w:rPr>
        <w:t>Schema change first: Add currency column (VARCHAR(3), ISO 4217) and exchange_rate column (NUMERIC(10,6)) to the transactions table.</w:t>
      </w:r>
    </w:p>
    <w:p>
      <w:pPr>
        <w:spacing w:before="0" w:after="0"/>
        <w:ind w:left="227"/>
        <w:shd w:val="clear" w:color="auto" w:fill="E0F4F4"/>
      </w:pPr>
      <w:r>
        <w:rPr>
          <w:rFonts w:ascii="Calibri" w:hAnsi="Calibri"/>
          <w:b w:val="0"/>
          <w:i w:val="0"/>
          <w:color w:val="2E2E2E"/>
          <w:sz w:val="21"/>
        </w:rPr>
        <w:t>Parser change: Detect currency from CSV/PDF content. Normalise to a base currency (USD or user-configured) using a daily exchange rate lookup, storing both original amount+currency and the normalised amount.</w:t>
      </w:r>
    </w:p>
    <w:p>
      <w:pPr>
        <w:spacing w:before="0" w:after="0"/>
        <w:ind w:left="227"/>
        <w:shd w:val="clear" w:color="auto" w:fill="E0F4F4"/>
      </w:pPr>
      <w:r>
        <w:rPr>
          <w:rFonts w:ascii="Calibri" w:hAnsi="Calibri"/>
          <w:b w:val="0"/>
          <w:i w:val="0"/>
          <w:color w:val="2E2E2E"/>
          <w:sz w:val="21"/>
        </w:rPr>
        <w:t>Analytics change: Income/expense aggregations already use SUM(amount). If we normalise at parse time, the analytics layer requires zero changes.</w:t>
      </w:r>
    </w:p>
    <w:p>
      <w:pPr>
        <w:spacing w:before="0" w:after="0"/>
        <w:ind w:left="227"/>
        <w:shd w:val="clear" w:color="auto" w:fill="E0F4F4"/>
      </w:pPr>
      <w:r>
        <w:rPr>
          <w:rFonts w:ascii="Calibri" w:hAnsi="Calibri"/>
          <w:b w:val="0"/>
          <w:i w:val="0"/>
          <w:color w:val="2E2E2E"/>
          <w:sz w:val="21"/>
        </w:rPr>
        <w:t>Clustering is unaffected: We cluster on description text, not amounts. Amount is metadata, not a clustering feature.</w:t>
      </w:r>
    </w:p>
    <w:p>
      <w:pPr>
        <w:spacing w:before="0" w:after="0"/>
        <w:ind w:left="227"/>
        <w:shd w:val="clear" w:color="auto" w:fill="E0F4F4"/>
      </w:pPr>
      <w:r>
        <w:rPr>
          <w:rFonts w:ascii="Calibri" w:hAnsi="Calibri"/>
          <w:b w:val="0"/>
          <w:i w:val="0"/>
          <w:color w:val="2E2E2E"/>
          <w:sz w:val="21"/>
        </w:rPr>
        <w:t>Result: A 3-layer change — parser, schema migration, UI display — with no ML pipeline changes. A sign of good separation of concerns in the original design.</w:t>
      </w:r>
    </w:p>
    <w:p>
      <w:pPr>
        <w:spacing w:before="0" w:after="0"/>
      </w:pPr>
    </w:p>
    <w:p>
      <w:r>
        <w:br w:type="page"/>
      </w:r>
    </w:p>
    <w:p>
      <w:pPr>
        <w:spacing w:before="0" w:after="0"/>
      </w:pPr>
    </w:p>
    <w:p>
      <w:pPr>
        <w:spacing w:before="80" w:after="120"/>
        <w:shd w:val="clear" w:color="auto" w:fill="0D1B3E"/>
      </w:pPr>
      <w:r>
        <w:rPr>
          <w:rFonts w:ascii="Calibri" w:hAnsi="Calibri"/>
          <w:b/>
          <w:i w:val="0"/>
          <w:color w:val="FFFFFF"/>
          <w:sz w:val="26"/>
        </w:rPr>
        <w:t xml:space="preserve">  SECTION 6 — Rapid Fire Questions</w:t>
      </w:r>
    </w:p>
    <w:p>
      <w:pPr>
        <w:spacing w:before="0" w:after="0"/>
      </w:pPr>
    </w:p>
    <w:p>
      <w:pPr>
        <w:spacing w:before="160" w:after="0"/>
        <w:shd w:val="clear" w:color="auto" w:fill="0D1B3E"/>
      </w:pPr>
      <w:r>
        <w:rPr>
          <w:rFonts w:ascii="Calibri" w:hAnsi="Calibri"/>
          <w:b/>
          <w:i w:val="0"/>
          <w:color w:val="F0A500"/>
          <w:sz w:val="22"/>
        </w:rPr>
        <w:t xml:space="preserve">  Q18. </w:t>
      </w:r>
      <w:r>
        <w:rPr>
          <w:rFonts w:ascii="Calibri" w:hAnsi="Calibri"/>
          <w:b/>
          <w:i w:val="0"/>
          <w:color w:val="FFFFFF"/>
          <w:sz w:val="22"/>
        </w:rPr>
        <w:t>What is ivfflat and why did you use it?</w:t>
      </w:r>
    </w:p>
    <w:p>
      <w:pPr>
        <w:spacing w:before="0" w:after="0"/>
        <w:ind w:left="227"/>
        <w:shd w:val="clear" w:color="auto" w:fill="E0F4F4"/>
      </w:pPr>
      <w:r>
        <w:rPr>
          <w:rFonts w:ascii="Calibri" w:hAnsi="Calibri"/>
          <w:b w:val="0"/>
          <w:i w:val="0"/>
          <w:color w:val="2E2E2E"/>
          <w:sz w:val="21"/>
        </w:rPr>
        <w:t>IVFFlat (Inverted File with Flat quantization) is an approximate nearest neighbour index for pgvector. It partitions the vector space into lists Voronoi cells and searches only a subset during query time — trading a small accuracy loss for major speed gains at scale.</w:t>
      </w:r>
    </w:p>
    <w:p>
      <w:pPr>
        <w:spacing w:before="0" w:after="0"/>
        <w:ind w:left="227"/>
        <w:shd w:val="clear" w:color="auto" w:fill="E0F4F4"/>
      </w:pPr>
      <w:r>
        <w:rPr>
          <w:rFonts w:ascii="Calibri" w:hAnsi="Calibri"/>
          <w:b w:val="0"/>
          <w:i w:val="0"/>
          <w:color w:val="2E2E2E"/>
          <w:sz w:val="21"/>
        </w:rPr>
        <w:t>We created it upfront with lists=10 for centroids and lists=20 for transaction embeddings. At current scale, exact scan is already fast. The index ensures we do not need a schema migration when row counts grow into the hundreds of thousands.</w:t>
      </w:r>
    </w:p>
    <w:p>
      <w:pPr>
        <w:spacing w:before="0" w:after="0"/>
      </w:pPr>
    </w:p>
    <w:p>
      <w:pPr>
        <w:spacing w:before="160" w:after="0"/>
        <w:shd w:val="clear" w:color="auto" w:fill="0D1B3E"/>
      </w:pPr>
      <w:r>
        <w:rPr>
          <w:rFonts w:ascii="Calibri" w:hAnsi="Calibri"/>
          <w:b/>
          <w:i w:val="0"/>
          <w:color w:val="F0A500"/>
          <w:sz w:val="22"/>
        </w:rPr>
        <w:t xml:space="preserve">  Q19. </w:t>
      </w:r>
      <w:r>
        <w:rPr>
          <w:rFonts w:ascii="Calibri" w:hAnsi="Calibri"/>
          <w:b/>
          <w:i w:val="0"/>
          <w:color w:val="FFFFFF"/>
          <w:sz w:val="22"/>
        </w:rPr>
        <w:t>What does scope="module" on a pytest fixture mean and why did you use it?</w:t>
      </w:r>
    </w:p>
    <w:p>
      <w:pPr>
        <w:spacing w:before="0" w:after="0"/>
        <w:ind w:left="227"/>
        <w:shd w:val="clear" w:color="auto" w:fill="E0F4F4"/>
      </w:pPr>
      <w:r>
        <w:rPr>
          <w:rFonts w:ascii="Calibri" w:hAnsi="Calibri"/>
          <w:b w:val="0"/>
          <w:i w:val="0"/>
          <w:color w:val="2E2E2E"/>
          <w:sz w:val="21"/>
        </w:rPr>
        <w:t>scope="module" means the fixture is created once per test module file and shared across all tests in that file — as opposed to the default scope="function" which recreates it per test.</w:t>
      </w:r>
    </w:p>
    <w:p>
      <w:pPr>
        <w:spacing w:before="0" w:after="0"/>
        <w:ind w:left="227"/>
        <w:shd w:val="clear" w:color="auto" w:fill="E0F4F4"/>
      </w:pPr>
      <w:r>
        <w:rPr>
          <w:rFonts w:ascii="Calibri" w:hAnsi="Calibri"/>
          <w:b w:val="0"/>
          <w:i w:val="0"/>
          <w:color w:val="2E2E2E"/>
          <w:sz w:val="21"/>
        </w:rPr>
        <w:t>We used it on the pipeline and run_result fixtures because loading the SBERT model and running the full clustering pipeline takes 10-30 seconds. Without scope="module", each of the 11 tests would reload the model — turning a 30-second suite into a 5-minute one.</w:t>
      </w:r>
    </w:p>
    <w:p>
      <w:pPr>
        <w:spacing w:before="0" w:after="0"/>
      </w:pPr>
    </w:p>
    <w:p>
      <w:pPr>
        <w:spacing w:before="160" w:after="0"/>
        <w:shd w:val="clear" w:color="auto" w:fill="0D1B3E"/>
      </w:pPr>
      <w:r>
        <w:rPr>
          <w:rFonts w:ascii="Calibri" w:hAnsi="Calibri"/>
          <w:b/>
          <w:i w:val="0"/>
          <w:color w:val="F0A500"/>
          <w:sz w:val="22"/>
        </w:rPr>
        <w:t xml:space="preserve">  Q20. </w:t>
      </w:r>
      <w:r>
        <w:rPr>
          <w:rFonts w:ascii="Calibri" w:hAnsi="Calibri"/>
          <w:b/>
          <w:i w:val="0"/>
          <w:color w:val="FFFFFF"/>
          <w:sz w:val="22"/>
        </w:rPr>
        <w:t>Why asyncio_mode=auto in Core API pytest.ini but STRICT in ML Engine?</w:t>
      </w:r>
    </w:p>
    <w:p>
      <w:pPr>
        <w:spacing w:before="0" w:after="0"/>
        <w:ind w:left="227"/>
        <w:shd w:val="clear" w:color="auto" w:fill="E0F4F4"/>
      </w:pPr>
      <w:r>
        <w:rPr>
          <w:rFonts w:ascii="Calibri" w:hAnsi="Calibri"/>
          <w:b w:val="0"/>
          <w:i w:val="0"/>
          <w:color w:val="2E2E2E"/>
          <w:sz w:val="21"/>
        </w:rPr>
        <w:t>AUTO mode automatically wraps async test functions without requiring @pytest.mark.asyncio on each one — lower boilerplate, faster to write tests.</w:t>
      </w:r>
    </w:p>
    <w:p>
      <w:pPr>
        <w:spacing w:before="0" w:after="0"/>
        <w:ind w:left="227"/>
        <w:shd w:val="clear" w:color="auto" w:fill="E0F4F4"/>
      </w:pPr>
      <w:r>
        <w:rPr>
          <w:rFonts w:ascii="Calibri" w:hAnsi="Calibri"/>
          <w:b w:val="0"/>
          <w:i w:val="0"/>
          <w:color w:val="2E2E2E"/>
          <w:sz w:val="21"/>
        </w:rPr>
        <w:t>STRICT requires explicit marking. More verbose but catches accidental async test functions that would silently run as synchronous under AUTO — passing without actually awaiting anything.</w:t>
      </w:r>
    </w:p>
    <w:p>
      <w:pPr>
        <w:spacing w:before="0" w:after="0"/>
        <w:ind w:left="227"/>
        <w:shd w:val="clear" w:color="auto" w:fill="E0F4F4"/>
      </w:pPr>
      <w:r>
        <w:rPr>
          <w:rFonts w:ascii="Calibri" w:hAnsi="Calibri"/>
          <w:b w:val="0"/>
          <w:i w:val="0"/>
          <w:color w:val="2E2E2E"/>
          <w:sz w:val="21"/>
        </w:rPr>
        <w:t>The ML Engine tests are all synchronous (CPU-bound pipeline, no I/O). STRICT is the correct and safer setting — if an async test sneaks in, it fails loudly rather than silently.</w:t>
      </w:r>
    </w:p>
    <w:p>
      <w:pPr>
        <w:spacing w:before="0" w:after="0"/>
      </w:pPr>
    </w:p>
    <w:p>
      <w:pPr>
        <w:spacing w:before="160" w:after="0"/>
        <w:shd w:val="clear" w:color="auto" w:fill="0D1B3E"/>
      </w:pPr>
      <w:r>
        <w:rPr>
          <w:rFonts w:ascii="Calibri" w:hAnsi="Calibri"/>
          <w:b/>
          <w:i w:val="0"/>
          <w:color w:val="F0A500"/>
          <w:sz w:val="22"/>
        </w:rPr>
        <w:t xml:space="preserve">  Q21. </w:t>
      </w:r>
      <w:r>
        <w:rPr>
          <w:rFonts w:ascii="Calibri" w:hAnsi="Calibri"/>
          <w:b/>
          <w:i w:val="0"/>
          <w:color w:val="FFFFFF"/>
          <w:sz w:val="22"/>
        </w:rPr>
        <w:t>What is @lru_cache doing on get_supabase_client()?</w:t>
      </w:r>
    </w:p>
    <w:p>
      <w:pPr>
        <w:spacing w:before="0" w:after="0"/>
        <w:ind w:left="227"/>
        <w:shd w:val="clear" w:color="auto" w:fill="E0F4F4"/>
      </w:pPr>
      <w:r>
        <w:rPr>
          <w:rFonts w:ascii="Calibri" w:hAnsi="Calibri"/>
          <w:b w:val="0"/>
          <w:i w:val="0"/>
          <w:color w:val="2E2E2E"/>
          <w:sz w:val="21"/>
        </w:rPr>
        <w:t>lru_cache memoises the return value of the function. Since get_supabase_client() takes no arguments, it runs exactly once — on the first call — and the same client instance is returned on every subsequent call for the process lifetime.</w:t>
      </w:r>
    </w:p>
    <w:p>
      <w:pPr>
        <w:spacing w:before="0" w:after="0"/>
        <w:ind w:left="227"/>
        <w:shd w:val="clear" w:color="auto" w:fill="E0F4F4"/>
      </w:pPr>
      <w:r>
        <w:rPr>
          <w:rFonts w:ascii="Calibri" w:hAnsi="Calibri"/>
          <w:b w:val="0"/>
          <w:i w:val="0"/>
          <w:color w:val="2E2E2E"/>
          <w:sz w:val="21"/>
        </w:rPr>
        <w:t>This gives us a lazy singleton without a module-level variable or a class. Thread-safe in CPython due to the GIL. Idiomatic Python for lazy initialisation of expensive objects (network connections, model loads).</w:t>
      </w:r>
    </w:p>
    <w:p>
      <w:pPr>
        <w:spacing w:before="0" w:after="0"/>
        <w:ind w:left="227"/>
        <w:shd w:val="clear" w:color="auto" w:fill="E0F4F4"/>
      </w:pPr>
      <w:r>
        <w:rPr>
          <w:rFonts w:ascii="Calibri" w:hAnsi="Calibri"/>
          <w:b w:val="0"/>
          <w:i w:val="0"/>
          <w:color w:val="2E2E2E"/>
          <w:sz w:val="21"/>
        </w:rPr>
        <w:t>Alternative: A module-level global (e.g., _client = None) achieves the same result but requires manual None-checks, is less composable, and harder to test or mock.</w:t>
      </w:r>
    </w:p>
    <w:p>
      <w:pPr>
        <w:spacing w:before="0" w:after="0"/>
      </w:pPr>
    </w:p>
    <w:p>
      <w:pPr>
        <w:spacing w:before="160" w:after="0"/>
        <w:shd w:val="clear" w:color="auto" w:fill="0D1B3E"/>
      </w:pPr>
      <w:r>
        <w:rPr>
          <w:rFonts w:ascii="Calibri" w:hAnsi="Calibri"/>
          <w:b/>
          <w:i w:val="0"/>
          <w:color w:val="F0A500"/>
          <w:sz w:val="22"/>
        </w:rPr>
        <w:t xml:space="preserve">  Q22. </w:t>
      </w:r>
      <w:r>
        <w:rPr>
          <w:rFonts w:ascii="Calibri" w:hAnsi="Calibri"/>
          <w:b/>
          <w:i w:val="0"/>
          <w:color w:val="FFFFFF"/>
          <w:sz w:val="22"/>
        </w:rPr>
        <w:t>What would you change if this system needed 100,000 users?</w:t>
      </w:r>
    </w:p>
    <w:p>
      <w:pPr>
        <w:spacing w:before="0" w:after="0"/>
        <w:ind w:left="227"/>
        <w:shd w:val="clear" w:color="auto" w:fill="E0F4F4"/>
      </w:pPr>
      <w:r>
        <w:rPr>
          <w:rFonts w:ascii="Calibri" w:hAnsi="Calibri"/>
          <w:b w:val="0"/>
          <w:i w:val="0"/>
          <w:color w:val="2E2E2E"/>
          <w:sz w:val="21"/>
        </w:rPr>
        <w:t>Four changes in priority order:</w:t>
      </w:r>
    </w:p>
    <w:p>
      <w:pPr>
        <w:spacing w:before="0" w:after="0"/>
        <w:ind w:left="227"/>
        <w:shd w:val="clear" w:color="auto" w:fill="E0F4F4"/>
      </w:pPr>
      <w:r>
        <w:rPr>
          <w:rFonts w:ascii="Calibri" w:hAnsi="Calibri"/>
          <w:b w:val="0"/>
          <w:i w:val="0"/>
          <w:color w:val="2E2E2E"/>
          <w:sz w:val="21"/>
        </w:rPr>
        <w:t>1. Swap BackgroundTasks for Celery + Redis: The job queue needs to be durable and distributed across multiple worker instances. A BackgroundTask dies with its process.</w:t>
      </w:r>
    </w:p>
    <w:p>
      <w:pPr>
        <w:spacing w:before="0" w:after="0"/>
        <w:ind w:left="227"/>
        <w:shd w:val="clear" w:color="auto" w:fill="E0F4F4"/>
      </w:pPr>
      <w:r>
        <w:rPr>
          <w:rFonts w:ascii="Calibri" w:hAnsi="Calibri"/>
          <w:b w:val="0"/>
          <w:i w:val="0"/>
          <w:color w:val="2E2E2E"/>
          <w:sz w:val="21"/>
        </w:rPr>
        <w:t>2. RDS Multi-AZ with read replicas: Analytics queries and writes hit the same DB. Read replicas protect write throughput under heavy read load.</w:t>
      </w:r>
    </w:p>
    <w:p>
      <w:pPr>
        <w:spacing w:before="0" w:after="0"/>
        <w:ind w:left="227"/>
        <w:shd w:val="clear" w:color="auto" w:fill="E0F4F4"/>
      </w:pPr>
      <w:r>
        <w:rPr>
          <w:rFonts w:ascii="Calibri" w:hAnsi="Calibri"/>
          <w:b w:val="0"/>
          <w:i w:val="0"/>
          <w:color w:val="2E2E2E"/>
          <w:sz w:val="21"/>
        </w:rPr>
        <w:t>3. Redis caching layer in front of /predict: Recurring transactions (Netflix, Spotify) hit the same description repeatedly. Cache embeddings keyed on hash(description) for instant repeat lookups.</w:t>
      </w:r>
    </w:p>
    <w:p>
      <w:pPr>
        <w:spacing w:before="0" w:after="0"/>
        <w:ind w:left="227"/>
        <w:shd w:val="clear" w:color="auto" w:fill="E0F4F4"/>
      </w:pPr>
      <w:r>
        <w:rPr>
          <w:rFonts w:ascii="Calibri" w:hAnsi="Calibri"/>
          <w:b w:val="0"/>
          <w:i w:val="0"/>
          <w:color w:val="2E2E2E"/>
          <w:sz w:val="21"/>
        </w:rPr>
        <w:t>4. GPU-backed or ONNX inference for SBERT: At 100k users the embedding step becomes the throughput bottleneck, not the DB query. ONNX Runtime gives 3-5x CPU speedup without a GPU.</w:t>
      </w:r>
    </w:p>
    <w:p>
      <w:pPr>
        <w:spacing w:before="0" w:after="0"/>
      </w:pPr>
    </w:p>
    <w:p>
      <w:pPr>
        <w:spacing w:before="0" w:after="0"/>
      </w:pPr>
    </w:p>
    <w:p>
      <w:pPr>
        <w:pBdr>
          <w:bottom w:val="single" w:sz="6" w:space="1" w:color="008787"/>
        </w:pBdr>
        <w:spacing w:before="40" w:after="40"/>
      </w:pPr>
    </w:p>
    <w:p>
      <w:pPr>
        <w:spacing w:before="0" w:after="0"/>
      </w:pPr>
    </w:p>
    <w:p>
      <w:pPr>
        <w:jc w:val="center"/>
        <w:shd w:val="clear" w:color="auto" w:fill="0D1B3E"/>
      </w:pPr>
      <w:r>
        <w:rPr>
          <w:rFonts w:ascii="Calibri" w:hAnsi="Calibri"/>
          <w:b/>
          <w:i w:val="0"/>
          <w:color w:val="F0A500"/>
          <w:sz w:val="24"/>
        </w:rPr>
        <w:t xml:space="preserve">  Closing Statement  </w:t>
      </w:r>
    </w:p>
    <w:p>
      <w:pPr>
        <w:shd w:val="clear" w:color="auto" w:fill="F4F7FB"/>
      </w:pPr>
      <w:r>
        <w:rPr>
          <w:rFonts w:ascii="Calibri" w:hAnsi="Calibri"/>
          <w:b w:val="0"/>
          <w:i/>
          <w:color w:val="0D1B3E"/>
          <w:sz w:val="22"/>
        </w:rPr>
        <w:t>"FinSight taught me that the hardest engineering decisions are not about which framework to use — they are about knowing what NOT to build yet. We made deliberate choices to use BackgroundTasks instead of Celery, single-AZ instead of multi-AZ, Supabase instead of RDS — not because the complex option was wrong, but because the simpler option was right for the current scale and could be replaced with a config change when that changed. Every architectural decision had a documented upgrade trigger. That is the kind of thinking I bring to system design."</w:t>
      </w:r>
    </w:p>
    <w:p>
      <w:pPr>
        <w:spacing w:before="0" w:after="0"/>
      </w:pPr>
    </w:p>
    <w:p>
      <w:pPr>
        <w:jc w:val="center"/>
      </w:pPr>
      <w:r>
        <w:rPr>
          <w:rFonts w:ascii="Calibri" w:hAnsi="Calibri"/>
          <w:b w:val="0"/>
          <w:i/>
          <w:color w:val="555555"/>
          <w:sz w:val="18"/>
        </w:rPr>
        <w:t>FinSight × Gemini  ·  Interview Q&amp;A Volume 1  ·  Principal Engineer Level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