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rPr>
        <w:t>题目以镇龙乡及周边山区为地理背景，设置标准测试场景（真实场景可能略有不同）。附件提供1个临时调度中心、15个服务区和80个不可拆货箱，设置三种运输无人机机型，共配置8架实体运输无人机，并给出配套共享电池组、数字高程模型（Digital Elevation Model，DEM）数据、中继无人机、可更换能源组件及无线链路参数等信息。空间坐标和公开地理数据用于描述测试场景，需求、时限、装备和资源参数以附件给定值为准。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本问题在不考虑实体无人机和共享电池调度的情况下，研究单服务区直接往返条件下的运输能力与货箱组批问题。</w:t>
      </w:r>
      <w:r>
        <w:rPr>
          <w:rFonts w:hint="eastAsia" w:cs="宋体"/>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rPr>
          <m:t>O01</m:t>
        </m:r>
      </m:oMath>
      <w:r>
        <w:rPr>
          <w:rFonts w:hint="eastAsia" w:cs="宋体"/>
        </w:rPr>
        <w:t>表示临时调度中心，</w:t>
      </w:r>
      <w:r>
        <w:rPr>
          <w:rFonts w:hint="eastAsia"/>
          <w:iCs/>
        </w:rPr>
        <w:t>S</w:t>
      </w:r>
      <w:r>
        <w:rPr>
          <w:rFonts w:hint="eastAsia"/>
          <w:i/>
        </w:rPr>
        <w:t>i</w:t>
      </w:r>
      <w:r>
        <w:rPr>
          <w:rFonts w:hint="eastAsia" w:cs="宋体"/>
        </w:rPr>
        <w:t>表示第</w:t>
      </w:r>
      <w:r>
        <w:rPr>
          <w:rFonts w:hint="eastAsia"/>
          <w:i/>
        </w:rPr>
        <w:t>i</w:t>
      </w:r>
      <w:r>
        <w:rPr>
          <w:rFonts w:hint="eastAsia" w:cs="宋体"/>
        </w:rPr>
        <w:t>个服务区（</w:t>
      </w:r>
      <m:oMath>
        <m:r>
          <m:rPr/>
          <w:rPr>
            <w:rFonts w:hint="eastAsia" w:ascii="Cambria Math" w:hAnsi="Cambria Math"/>
          </w:rPr>
          <m:t>i</m:t>
        </m:r>
        <m:r>
          <m:rPr>
            <m:sty m:val="p"/>
          </m:rPr>
          <w:rPr>
            <w:rFonts w:ascii="Cambria Math" w:hAnsi="Cambria Math"/>
          </w:rPr>
          <m:t>=1,2,…,15</m:t>
        </m:r>
      </m:oMath>
      <w:r>
        <w:rPr>
          <w:rFonts w:hint="eastAsia" w:cs="宋体"/>
        </w:rPr>
        <w:t>）</w:t>
      </w:r>
      <w:r>
        <w:rPr>
          <w:rFonts w:hint="eastAsia"/>
        </w:rPr>
        <w:t>；同一服务区可由多个架次分批</w:t>
      </w:r>
      <w:bookmarkStart w:id="1" w:name="_GoBack"/>
      <w:bookmarkEnd w:id="1"/>
      <w:r>
        <w:rPr>
          <w:rFonts w:hint="eastAsia"/>
        </w:rPr>
        <w:t>服务，不得跨服务区组批。根据附件给出的节点坐标、30 米 DEM、机型参数和货箱数据，完成如下各项：</w:t>
      </w:r>
    </w:p>
    <w:p w14:paraId="4EA72CC7">
      <w:pPr>
        <w:pStyle w:val="3"/>
        <w:rPr>
          <w:color w:val="FF0000"/>
        </w:rPr>
      </w:pPr>
      <w:r>
        <w:rPr>
          <w:rFonts w:hint="eastAsia"/>
          <w:color w:val="FF0000"/>
        </w:rPr>
        <w:t>计算三种机型在不同服务区执行单点往返任务时的最大安全载荷。</w:t>
      </w:r>
    </w:p>
    <w:p w14:paraId="7E6DA1C2">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在货箱不可拆分且每个货箱只能安排一次，并满足载质量、装载体积和返航安全能量余量等要求的条件下，确定各服务区的货箱组批方案。</w:t>
      </w:r>
    </w:p>
    <w:p w14:paraId="4EE39D04">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在完成全部</w:t>
      </w:r>
      <w:r>
        <w:rPr>
          <w:rFonts w:hint="eastAsia" w:ascii="宋体" w:hAnsi="宋体" w:cs="宋体"/>
          <w:color w:val="000000" w:themeColor="text1"/>
          <w14:textFill>
            <w14:solidFill>
              <w14:schemeClr w14:val="tx1"/>
            </w14:solidFill>
          </w14:textFill>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问题二：异构无人机多点多架次运输调度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本问题在不考虑通信保障的情况下，研究异构运输无人机的多点多架次运输调度问题。每个运输架次可访问一个或多个服务区，并在完成物资交付后返回 O01。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pPr>
        <w:pStyle w:val="10"/>
        <w:numPr>
          <w:ilvl w:val="0"/>
          <w:numId w:val="3"/>
        </w:numPr>
        <w:spacing w:beforeAutospacing="0" w:after="120" w:afterLines="50" w:afterAutospacing="0" w:line="284" w:lineRule="auto"/>
        <w:jc w:val="both"/>
      </w:pPr>
      <w:r>
        <w:rPr>
          <w:rFonts w:hint="eastAsia"/>
          <w:color w:val="000000" w:themeColor="text1"/>
          <w14:textFill>
            <w14:solidFill>
              <w14:schemeClr w14:val="tx1"/>
            </w14:solidFill>
          </w14:textFill>
        </w:rPr>
        <w:t>综合考虑配送及时性、全部任务完</w:t>
      </w:r>
      <w:r>
        <w:rPr>
          <w:rFonts w:hint="eastAsia"/>
        </w:rPr>
        <w:t>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rPr>
        <w:t>给出运输路线、架次安排、逐箱送达时刻以及无人机和电池的资源使用情况，并检验方案的资源可行性。</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3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rPr>
        <w:t>综合考虑物资配送及时性、联合任务完成时间、运输与中继总能耗以及两类无人机的使</w:t>
      </w:r>
      <w:r>
        <w:rPr>
          <w:rFonts w:hint="eastAsia"/>
          <w:color w:val="000000" w:themeColor="text1"/>
          <w14:textFill>
            <w14:solidFill>
              <w14:schemeClr w14:val="tx1"/>
            </w14:solidFill>
          </w14:textFill>
        </w:rPr>
        <w:t>用架次等指标进行优化，并说明各指标之间的权衡关系。（其中，联合任务完成时间取所有运输无人机和中继无人机完成最后一个架次并返回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pPr>
        <w:ind w:firstLine="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rPr>
      </w:pPr>
      <w:r>
        <w:rPr>
          <w:rFonts w:hint="eastAsia" w:ascii="宋体" w:hAnsi="宋体" w:eastAsia="宋体" w:cs="宋体"/>
          <w:szCs w:val="24"/>
        </w:rPr>
        <w:t>附录 2. 无人机时间与能源计算规则</w:t>
      </w:r>
    </w:p>
    <w:p w14:paraId="17D14EE7">
      <w:r>
        <w:rPr>
          <w:rFonts w:hint="eastAsia"/>
        </w:rPr>
        <w:t>本附录统一运输与中继无人机飞行时间、能耗、返航安全余量及能源资源充电周转的计算口径，相关参数及单位以配套数据文件为准。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pPr>
      <w:r>
        <w:rPr>
          <w:rFonts w:hint="eastAsia"/>
        </w:rPr>
        <w:t>任意两个任务节点之间采用两节点水平直线作为运输航段，计划巡航海拔取该航段所经过 DEM 像元的最高地面高程以上50米。每个航段按爬升、巡航和下降三个阶段计算：无人机由起点作业高度爬升至巡航海拔，完成水平巡航后下降至终点作业高度。O01作业高度取其地面海拔，服务区作业高度取其地面海拔以上30米；连续访问多个服务区时，每次投送后均从30米作业高度重新爬升。</w:t>
      </w:r>
    </w:p>
    <w:p w14:paraId="1989AD27">
      <w:pPr>
        <w:keepNext/>
        <w:keepLines/>
      </w:pPr>
      <w:r>
        <w:rPr>
          <w:rFonts w:hint="eastAsia"/>
        </w:rPr>
        <w:t>水平巡航距离、爬升高度和下降高度由节点位置、DEM及计划巡航海拔确定。</w:t>
      </w:r>
      <w:r>
        <w:t>机型</w:t>
      </w:r>
      <w:r>
        <w:rPr>
          <w:rFonts w:hint="eastAsia"/>
        </w:rPr>
        <w:t xml:space="preserve"> </w:t>
      </w:r>
      <m:oMath>
        <m:r>
          <m:rPr/>
          <w:rPr>
            <w:rFonts w:ascii="Cambria Math" w:hAnsi="Cambria Math"/>
          </w:rPr>
          <m:t>g</m:t>
        </m:r>
      </m:oMath>
      <w:r>
        <w:rPr>
          <w:rFonts w:hint="eastAsia"/>
        </w:rPr>
        <w:t xml:space="preserve"> </w:t>
      </w:r>
      <w:r>
        <w:t>携带载荷</w:t>
      </w:r>
      <m:oMath>
        <m:r>
          <m:rPr/>
          <w:rPr>
            <w:rFonts w:ascii="Cambria Math" w:hAnsi="Cambria Math"/>
          </w:rPr>
          <m:t>q</m:t>
        </m:r>
      </m:oMath>
      <w:r>
        <w:rPr>
          <w:rFonts w:hint="eastAsia"/>
        </w:rPr>
        <w:t xml:space="preserve"> </w:t>
      </w:r>
      <w: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t>下降能耗效率取0表示不单独计算下降附加能耗。每个运输架次均须满足返航安全余量：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3" w:lineRule="auto"/>
      </w:pPr>
      <w:r>
        <w:separator/>
      </w:r>
    </w:p>
  </w:footnote>
  <w:footnote w:type="continuationSeparator" w:id="1">
    <w:p>
      <w:pPr>
        <w:spacing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705D88"/>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3"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b/>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3586</Words>
  <Characters>3710</Characters>
  <Lines>169</Lines>
  <Paragraphs>124</Paragraphs>
  <TotalTime>26</TotalTime>
  <ScaleCrop>false</ScaleCrop>
  <LinksUpToDate>false</LinksUpToDate>
  <CharactersWithSpaces>3739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Clover</cp:lastModifiedBy>
  <dcterms:modified xsi:type="dcterms:W3CDTF">2026-09-23T01:25:39Z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C61A873ED3414557BDF69F5E28EE36D1_13</vt:lpwstr>
  </property>
  <property fmtid="{D5CDD505-2E9C-101B-9397-08002B2CF9AE}" pid="4" name="KSOTemplateDocerSaveRecord">
    <vt:lpwstr>eyJoZGlkIjoiZTNiMmJjMGUyMDNhMGI0MjllZTc4OTE3ODRjOTBjMWQiLCJ1c2VySWQiOiI4MjEyMzQ1NzcifQ==</vt:lpwstr>
  </property>
</Properties>
</file>