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D7378" w14:textId="77777777" w:rsidR="001A3135" w:rsidRPr="001A3135" w:rsidRDefault="001A3135" w:rsidP="001A3135">
      <w:pPr>
        <w:rPr>
          <w:b/>
          <w:bCs/>
        </w:rPr>
      </w:pPr>
      <w:r w:rsidRPr="001A3135">
        <w:rPr>
          <w:b/>
          <w:bCs/>
        </w:rPr>
        <w:t>Conclusion</w:t>
      </w:r>
    </w:p>
    <w:p w14:paraId="7CA39EE7" w14:textId="77777777" w:rsidR="001A3135" w:rsidRPr="001A3135" w:rsidRDefault="001A3135" w:rsidP="001A3135">
      <w:r w:rsidRPr="001A3135">
        <w:t>This research proposes a novel methodology to enhance the diagnostic accuracy of invasive ductal carcinoma (IDC) by leveraging convolutional neural networks (CNNs) for detailed analysis of histopathological tissue samples. Our approach harnesses high-resolution imaging and advanced deep learning models to autonomously identify key features associated with IDC, presenting a step change in automated breast cancer diagnostics. CNNs offer a powerful alternative to traditional diagnostic methods by detecting subtle patterns and intricate tissue structures without manual intervention, thus providing more consistent and unbiased insights. Our results indicate that the classifier performs reliably when evaluating new types of imaging data, setting a foundation for scalable, efficient, and precise diagnostic tools.</w:t>
      </w:r>
    </w:p>
    <w:p w14:paraId="2C13FBBB" w14:textId="77777777" w:rsidR="001A3135" w:rsidRPr="001A3135" w:rsidRDefault="001A3135" w:rsidP="001A3135">
      <w:pPr>
        <w:rPr>
          <w:b/>
          <w:bCs/>
        </w:rPr>
      </w:pPr>
      <w:r w:rsidRPr="001A3135">
        <w:rPr>
          <w:b/>
          <w:bCs/>
        </w:rPr>
        <w:t>Contributions of the Work</w:t>
      </w:r>
    </w:p>
    <w:p w14:paraId="15ACF97F" w14:textId="77777777" w:rsidR="001A3135" w:rsidRPr="001A3135" w:rsidRDefault="001A3135" w:rsidP="001A3135">
      <w:pPr>
        <w:numPr>
          <w:ilvl w:val="0"/>
          <w:numId w:val="12"/>
        </w:numPr>
      </w:pPr>
      <w:r w:rsidRPr="001A3135">
        <w:rPr>
          <w:b/>
          <w:bCs/>
        </w:rPr>
        <w:t>Advancement in Automated IDC Detection</w:t>
      </w:r>
      <w:r w:rsidRPr="001A3135">
        <w:t>: Our CNN-based model enhances IDC detection capabilities, focusing on crucial histopathological markers for improved accuracy.</w:t>
      </w:r>
    </w:p>
    <w:p w14:paraId="27EC3855" w14:textId="77777777" w:rsidR="001A3135" w:rsidRPr="001A3135" w:rsidRDefault="001A3135" w:rsidP="001A3135">
      <w:pPr>
        <w:numPr>
          <w:ilvl w:val="0"/>
          <w:numId w:val="12"/>
        </w:numPr>
      </w:pPr>
      <w:r w:rsidRPr="001A3135">
        <w:rPr>
          <w:b/>
          <w:bCs/>
        </w:rPr>
        <w:t>Data-Driven, Unbiased Analysis</w:t>
      </w:r>
      <w:r w:rsidRPr="001A3135">
        <w:t>: By analyzing data directly without preconceptions, the model allows for more reliable findings, improving the quality of the insights derived from the tissue samples.</w:t>
      </w:r>
    </w:p>
    <w:p w14:paraId="2C39DB63" w14:textId="77777777" w:rsidR="001A3135" w:rsidRPr="001A3135" w:rsidRDefault="001A3135" w:rsidP="001A3135">
      <w:pPr>
        <w:numPr>
          <w:ilvl w:val="0"/>
          <w:numId w:val="12"/>
        </w:numPr>
      </w:pPr>
      <w:r w:rsidRPr="001A3135">
        <w:rPr>
          <w:b/>
          <w:bCs/>
        </w:rPr>
        <w:t>Iterative Model Refinement</w:t>
      </w:r>
      <w:r w:rsidRPr="001A3135">
        <w:t>: Through a structured feedback and refinement loop, our model achieves heightened precision, reflecting a commitment to ongoing improvements in performance and accuracy.</w:t>
      </w:r>
    </w:p>
    <w:p w14:paraId="42A23BE2" w14:textId="77777777" w:rsidR="001A3135" w:rsidRPr="001A3135" w:rsidRDefault="001A3135" w:rsidP="001A3135">
      <w:pPr>
        <w:numPr>
          <w:ilvl w:val="0"/>
          <w:numId w:val="12"/>
        </w:numPr>
      </w:pPr>
      <w:r w:rsidRPr="001A3135">
        <w:rPr>
          <w:b/>
          <w:bCs/>
        </w:rPr>
        <w:t>Commitment to Diagnostic Excellence</w:t>
      </w:r>
      <w:r w:rsidRPr="001A3135">
        <w:t>: A focus on quality assurance and a rigorous testing framework ensure that our CNN models are not only effective but adaptable to diverse clinical applications, raising the standard for automated diagnostic solutions in oncology.</w:t>
      </w:r>
    </w:p>
    <w:p w14:paraId="64E01B8D" w14:textId="77777777" w:rsidR="001A3135" w:rsidRPr="001A3135" w:rsidRDefault="001A3135" w:rsidP="001A3135">
      <w:pPr>
        <w:rPr>
          <w:b/>
          <w:bCs/>
        </w:rPr>
      </w:pPr>
      <w:r w:rsidRPr="001A3135">
        <w:rPr>
          <w:b/>
          <w:bCs/>
        </w:rPr>
        <w:t>Key Takeaways</w:t>
      </w:r>
    </w:p>
    <w:p w14:paraId="048DD0E2" w14:textId="77777777" w:rsidR="001A3135" w:rsidRPr="001A3135" w:rsidRDefault="001A3135" w:rsidP="001A3135">
      <w:pPr>
        <w:numPr>
          <w:ilvl w:val="0"/>
          <w:numId w:val="13"/>
        </w:numPr>
      </w:pPr>
      <w:r w:rsidRPr="001A3135">
        <w:rPr>
          <w:b/>
          <w:bCs/>
        </w:rPr>
        <w:t>Precision in Automated Detection</w:t>
      </w:r>
      <w:r w:rsidRPr="001A3135">
        <w:t>: Ensuring exactness in automated detection mechanisms is essential, as it directly impacts diagnostic reliability.</w:t>
      </w:r>
    </w:p>
    <w:p w14:paraId="4F932DB7" w14:textId="77777777" w:rsidR="001A3135" w:rsidRPr="001A3135" w:rsidRDefault="001A3135" w:rsidP="001A3135">
      <w:pPr>
        <w:numPr>
          <w:ilvl w:val="0"/>
          <w:numId w:val="13"/>
        </w:numPr>
      </w:pPr>
      <w:r w:rsidRPr="001A3135">
        <w:rPr>
          <w:b/>
          <w:bCs/>
        </w:rPr>
        <w:t>Continuous Learning and Adaptation</w:t>
      </w:r>
      <w:r w:rsidRPr="001A3135">
        <w:t>: A dynamic, feedback-driven process has proven valuable for improving model robustness and optimizing performance over time.</w:t>
      </w:r>
    </w:p>
    <w:p w14:paraId="5C4DA77C" w14:textId="77777777" w:rsidR="001A3135" w:rsidRPr="001A3135" w:rsidRDefault="001A3135" w:rsidP="001A3135">
      <w:pPr>
        <w:numPr>
          <w:ilvl w:val="0"/>
          <w:numId w:val="13"/>
        </w:numPr>
      </w:pPr>
      <w:r w:rsidRPr="001A3135">
        <w:rPr>
          <w:b/>
          <w:bCs/>
        </w:rPr>
        <w:t>Holistic Quality Assurance</w:t>
      </w:r>
      <w:r w:rsidRPr="001A3135">
        <w:t>: Our comprehensive quality checks validate the model’s robustness, ensuring accuracy across a wide spectrum of data.</w:t>
      </w:r>
    </w:p>
    <w:p w14:paraId="2A1F305E" w14:textId="77777777" w:rsidR="001A3135" w:rsidRPr="001A3135" w:rsidRDefault="001A3135" w:rsidP="001A3135">
      <w:pPr>
        <w:numPr>
          <w:ilvl w:val="0"/>
          <w:numId w:val="13"/>
        </w:numPr>
      </w:pPr>
      <w:r w:rsidRPr="001A3135">
        <w:rPr>
          <w:b/>
          <w:bCs/>
        </w:rPr>
        <w:t>User-Centric and Adaptive Approach</w:t>
      </w:r>
      <w:r w:rsidRPr="001A3135">
        <w:t>: The approach prioritizes inclusivity and adaptability, maintaining a patient-centered focus in model improvements.</w:t>
      </w:r>
    </w:p>
    <w:p w14:paraId="098F4458" w14:textId="77777777" w:rsidR="001A3135" w:rsidRPr="001A3135" w:rsidRDefault="001A3135" w:rsidP="001A3135">
      <w:pPr>
        <w:rPr>
          <w:b/>
          <w:bCs/>
        </w:rPr>
      </w:pPr>
      <w:r w:rsidRPr="001A3135">
        <w:rPr>
          <w:b/>
          <w:bCs/>
        </w:rPr>
        <w:t>Future Directions</w:t>
      </w:r>
    </w:p>
    <w:p w14:paraId="583D8E4D" w14:textId="77777777" w:rsidR="001A3135" w:rsidRPr="001A3135" w:rsidRDefault="001A3135" w:rsidP="001A3135">
      <w:pPr>
        <w:numPr>
          <w:ilvl w:val="0"/>
          <w:numId w:val="14"/>
        </w:numPr>
      </w:pPr>
      <w:r w:rsidRPr="001A3135">
        <w:rPr>
          <w:b/>
          <w:bCs/>
        </w:rPr>
        <w:t>In-Depth Exploration of CNN Architectures</w:t>
      </w:r>
      <w:r w:rsidRPr="001A3135">
        <w:t>: To maximize diagnostic accuracy, we will delve into a wider range of CNN architectures, including deeper and more complex structures, to improve feature extraction capabilities.</w:t>
      </w:r>
    </w:p>
    <w:p w14:paraId="4C8911DD" w14:textId="77777777" w:rsidR="001A3135" w:rsidRPr="001A3135" w:rsidRDefault="001A3135" w:rsidP="001A3135">
      <w:pPr>
        <w:numPr>
          <w:ilvl w:val="0"/>
          <w:numId w:val="14"/>
        </w:numPr>
      </w:pPr>
      <w:r w:rsidRPr="001A3135">
        <w:rPr>
          <w:b/>
          <w:bCs/>
        </w:rPr>
        <w:lastRenderedPageBreak/>
        <w:t>Scalability and Broader Applicability</w:t>
      </w:r>
      <w:r w:rsidRPr="001A3135">
        <w:t>: We aim to enhance the model's scalability and adaptability, making it accessible across various clinical environments and inclusive of diverse patient populations.</w:t>
      </w:r>
    </w:p>
    <w:p w14:paraId="417F28B9" w14:textId="77777777" w:rsidR="001A3135" w:rsidRPr="001A3135" w:rsidRDefault="001A3135" w:rsidP="001A3135">
      <w:pPr>
        <w:numPr>
          <w:ilvl w:val="0"/>
          <w:numId w:val="14"/>
        </w:numPr>
      </w:pPr>
      <w:r w:rsidRPr="001A3135">
        <w:rPr>
          <w:b/>
          <w:bCs/>
        </w:rPr>
        <w:t>Advanced Visual Feature Analysis</w:t>
      </w:r>
      <w:r w:rsidRPr="001A3135">
        <w:t>: Further research will focus on identifying specific visual features, such as tissue morphology and subtle histopathological changes associated with tumor aggressiveness, to enhance diagnostic precision.</w:t>
      </w:r>
    </w:p>
    <w:p w14:paraId="464A0817" w14:textId="77777777" w:rsidR="001A3135" w:rsidRPr="001A3135" w:rsidRDefault="001A3135" w:rsidP="001A3135">
      <w:pPr>
        <w:numPr>
          <w:ilvl w:val="0"/>
          <w:numId w:val="14"/>
        </w:numPr>
      </w:pPr>
      <w:r w:rsidRPr="001A3135">
        <w:rPr>
          <w:b/>
          <w:bCs/>
        </w:rPr>
        <w:t>Integration with Precision Medicine Initiatives</w:t>
      </w:r>
      <w:r w:rsidRPr="001A3135">
        <w:t>: Our research contributes to the paradigm of precision medicine, striving to provide personalized and predictive diagnostic tools that optimize patient care.</w:t>
      </w:r>
    </w:p>
    <w:p w14:paraId="21252DC1" w14:textId="77777777" w:rsidR="001A3135" w:rsidRPr="001A3135" w:rsidRDefault="001A3135" w:rsidP="001A3135">
      <w:pPr>
        <w:numPr>
          <w:ilvl w:val="0"/>
          <w:numId w:val="14"/>
        </w:numPr>
      </w:pPr>
      <w:r w:rsidRPr="001A3135">
        <w:rPr>
          <w:b/>
          <w:bCs/>
        </w:rPr>
        <w:t>Commitment to Technological Advancement in Oncology</w:t>
      </w:r>
      <w:r w:rsidRPr="001A3135">
        <w:t>: By combining state-of-the-art deep learning techniques with medical expertise, we aspire to push the boundaries of traditional diagnostics, contributing to transformative changes in breast cancer diagnosis and patient outcomes.</w:t>
      </w:r>
    </w:p>
    <w:p w14:paraId="2A58FEF6" w14:textId="77777777" w:rsidR="001A3135" w:rsidRPr="001A3135" w:rsidRDefault="001A3135" w:rsidP="001A3135">
      <w:r w:rsidRPr="001A3135">
        <w:t>This work represents a substantial contribution to the integration of AI in medical diagnostics, particularly within oncology. The continued development of such models offers the potential for significant advancements in the detection and understanding of breast cancer, ultimately enhancing both diagnostic accuracy and patient care quality.</w:t>
      </w:r>
    </w:p>
    <w:p w14:paraId="1D0E5750" w14:textId="423FD117" w:rsidR="00F646BD" w:rsidRPr="001A3135" w:rsidRDefault="00F646BD"/>
    <w:sectPr w:rsidR="00F646BD" w:rsidRPr="001A3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523EA"/>
    <w:multiLevelType w:val="hybridMultilevel"/>
    <w:tmpl w:val="0A1E5C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33A59"/>
    <w:multiLevelType w:val="hybridMultilevel"/>
    <w:tmpl w:val="B5FE51AC"/>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9733A92"/>
    <w:multiLevelType w:val="hybridMultilevel"/>
    <w:tmpl w:val="6EBE08A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B7B1CC5"/>
    <w:multiLevelType w:val="hybridMultilevel"/>
    <w:tmpl w:val="F1FCEF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D6F199A"/>
    <w:multiLevelType w:val="hybridMultilevel"/>
    <w:tmpl w:val="C91A803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12F7310F"/>
    <w:multiLevelType w:val="hybridMultilevel"/>
    <w:tmpl w:val="688060A0"/>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FB51331"/>
    <w:multiLevelType w:val="hybridMultilevel"/>
    <w:tmpl w:val="E0664B2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30944908"/>
    <w:multiLevelType w:val="hybridMultilevel"/>
    <w:tmpl w:val="EC6EBA66"/>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47063AB"/>
    <w:multiLevelType w:val="hybridMultilevel"/>
    <w:tmpl w:val="BFD4B94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476705D1"/>
    <w:multiLevelType w:val="multilevel"/>
    <w:tmpl w:val="B46E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4E0254"/>
    <w:multiLevelType w:val="hybridMultilevel"/>
    <w:tmpl w:val="18747E0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6FA973E7"/>
    <w:multiLevelType w:val="multilevel"/>
    <w:tmpl w:val="6DB8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0A52DD"/>
    <w:multiLevelType w:val="hybridMultilevel"/>
    <w:tmpl w:val="7C5099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7B4610E9"/>
    <w:multiLevelType w:val="multilevel"/>
    <w:tmpl w:val="E526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578106">
    <w:abstractNumId w:val="0"/>
  </w:num>
  <w:num w:numId="2" w16cid:durableId="1140340163">
    <w:abstractNumId w:val="7"/>
  </w:num>
  <w:num w:numId="3" w16cid:durableId="1482697004">
    <w:abstractNumId w:val="10"/>
  </w:num>
  <w:num w:numId="4" w16cid:durableId="643387808">
    <w:abstractNumId w:val="6"/>
  </w:num>
  <w:num w:numId="5" w16cid:durableId="1544322512">
    <w:abstractNumId w:val="8"/>
  </w:num>
  <w:num w:numId="6" w16cid:durableId="9797496">
    <w:abstractNumId w:val="12"/>
  </w:num>
  <w:num w:numId="7" w16cid:durableId="66000616">
    <w:abstractNumId w:val="5"/>
  </w:num>
  <w:num w:numId="8" w16cid:durableId="1820150392">
    <w:abstractNumId w:val="4"/>
  </w:num>
  <w:num w:numId="9" w16cid:durableId="402336784">
    <w:abstractNumId w:val="3"/>
  </w:num>
  <w:num w:numId="10" w16cid:durableId="327561881">
    <w:abstractNumId w:val="2"/>
  </w:num>
  <w:num w:numId="11" w16cid:durableId="565729661">
    <w:abstractNumId w:val="1"/>
  </w:num>
  <w:num w:numId="12" w16cid:durableId="1821847264">
    <w:abstractNumId w:val="9"/>
  </w:num>
  <w:num w:numId="13" w16cid:durableId="351030603">
    <w:abstractNumId w:val="13"/>
  </w:num>
  <w:num w:numId="14" w16cid:durableId="20085574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35"/>
    <w:rsid w:val="001029B3"/>
    <w:rsid w:val="001A3135"/>
    <w:rsid w:val="00E42DE1"/>
    <w:rsid w:val="00F6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68786"/>
  <w15:chartTrackingRefBased/>
  <w15:docId w15:val="{7F522775-13D1-408D-9966-435A8A7F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135"/>
    <w:pPr>
      <w:spacing w:line="259"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1A3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135"/>
    <w:rPr>
      <w:rFonts w:eastAsiaTheme="majorEastAsia" w:cstheme="majorBidi"/>
      <w:color w:val="272727" w:themeColor="text1" w:themeTint="D8"/>
    </w:rPr>
  </w:style>
  <w:style w:type="paragraph" w:styleId="Title">
    <w:name w:val="Title"/>
    <w:basedOn w:val="Normal"/>
    <w:next w:val="Normal"/>
    <w:link w:val="TitleChar"/>
    <w:uiPriority w:val="10"/>
    <w:qFormat/>
    <w:rsid w:val="001A3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135"/>
    <w:pPr>
      <w:spacing w:before="160"/>
      <w:jc w:val="center"/>
    </w:pPr>
    <w:rPr>
      <w:i/>
      <w:iCs/>
      <w:color w:val="404040" w:themeColor="text1" w:themeTint="BF"/>
    </w:rPr>
  </w:style>
  <w:style w:type="character" w:customStyle="1" w:styleId="QuoteChar">
    <w:name w:val="Quote Char"/>
    <w:basedOn w:val="DefaultParagraphFont"/>
    <w:link w:val="Quote"/>
    <w:uiPriority w:val="29"/>
    <w:rsid w:val="001A3135"/>
    <w:rPr>
      <w:i/>
      <w:iCs/>
      <w:color w:val="404040" w:themeColor="text1" w:themeTint="BF"/>
    </w:rPr>
  </w:style>
  <w:style w:type="paragraph" w:styleId="ListParagraph">
    <w:name w:val="List Paragraph"/>
    <w:basedOn w:val="Normal"/>
    <w:uiPriority w:val="34"/>
    <w:qFormat/>
    <w:rsid w:val="001A3135"/>
    <w:pPr>
      <w:ind w:left="720"/>
      <w:contextualSpacing/>
    </w:pPr>
  </w:style>
  <w:style w:type="character" w:styleId="IntenseEmphasis">
    <w:name w:val="Intense Emphasis"/>
    <w:basedOn w:val="DefaultParagraphFont"/>
    <w:uiPriority w:val="21"/>
    <w:qFormat/>
    <w:rsid w:val="001A3135"/>
    <w:rPr>
      <w:i/>
      <w:iCs/>
      <w:color w:val="0F4761" w:themeColor="accent1" w:themeShade="BF"/>
    </w:rPr>
  </w:style>
  <w:style w:type="paragraph" w:styleId="IntenseQuote">
    <w:name w:val="Intense Quote"/>
    <w:basedOn w:val="Normal"/>
    <w:next w:val="Normal"/>
    <w:link w:val="IntenseQuoteChar"/>
    <w:uiPriority w:val="30"/>
    <w:qFormat/>
    <w:rsid w:val="001A3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135"/>
    <w:rPr>
      <w:i/>
      <w:iCs/>
      <w:color w:val="0F4761" w:themeColor="accent1" w:themeShade="BF"/>
    </w:rPr>
  </w:style>
  <w:style w:type="character" w:styleId="IntenseReference">
    <w:name w:val="Intense Reference"/>
    <w:basedOn w:val="DefaultParagraphFont"/>
    <w:uiPriority w:val="32"/>
    <w:qFormat/>
    <w:rsid w:val="001A3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041523">
      <w:bodyDiv w:val="1"/>
      <w:marLeft w:val="0"/>
      <w:marRight w:val="0"/>
      <w:marTop w:val="0"/>
      <w:marBottom w:val="0"/>
      <w:divBdr>
        <w:top w:val="none" w:sz="0" w:space="0" w:color="auto"/>
        <w:left w:val="none" w:sz="0" w:space="0" w:color="auto"/>
        <w:bottom w:val="none" w:sz="0" w:space="0" w:color="auto"/>
        <w:right w:val="none" w:sz="0" w:space="0" w:color="auto"/>
      </w:divBdr>
    </w:div>
    <w:div w:id="18073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Shamshed Jimmy</dc:creator>
  <cp:keywords/>
  <dc:description/>
  <cp:lastModifiedBy>Shamshed Jimmy</cp:lastModifiedBy>
  <cp:revision>1</cp:revision>
  <dcterms:created xsi:type="dcterms:W3CDTF">2024-11-04T19:14:00Z</dcterms:created>
  <dcterms:modified xsi:type="dcterms:W3CDTF">2024-11-04T19:18:00Z</dcterms:modified>
</cp:coreProperties>
</file>