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057DDD" w14:textId="1DAC25B4" w:rsidR="009C3F79" w:rsidRDefault="009C3F79" w:rsidP="009C3F79">
      <w:pPr>
        <w:rPr>
          <w:b/>
          <w:bCs/>
        </w:rPr>
      </w:pPr>
      <w:r w:rsidRPr="009C3F79">
        <w:rPr>
          <w:b/>
          <w:bCs/>
        </w:rPr>
        <w:t>Summary of the Study</w:t>
      </w:r>
      <w:r w:rsidR="00EC0E07">
        <w:rPr>
          <w:b/>
          <w:bCs/>
        </w:rPr>
        <w:t>:</w:t>
      </w:r>
    </w:p>
    <w:p w14:paraId="370AC5B0" w14:textId="7B2D5D04" w:rsidR="006025F6" w:rsidRDefault="006025F6" w:rsidP="006025F6">
      <w:pPr>
        <w:spacing w:after="0" w:line="240" w:lineRule="auto"/>
        <w:rPr>
          <w:color w:val="0070C0"/>
        </w:rPr>
      </w:pPr>
      <w:r w:rsidRPr="006025F6">
        <w:rPr>
          <w:color w:val="0070C0"/>
        </w:rPr>
        <w:t>Very well written critique that raised very important points about the strengths and weaknesses of the study and what conclusions can be drawn.</w:t>
      </w:r>
    </w:p>
    <w:p w14:paraId="37DA8F78" w14:textId="77777777" w:rsidR="006025F6" w:rsidRPr="006025F6" w:rsidRDefault="006025F6" w:rsidP="006025F6">
      <w:pPr>
        <w:spacing w:after="0" w:line="240" w:lineRule="auto"/>
        <w:rPr>
          <w:color w:val="0070C0"/>
        </w:rPr>
      </w:pPr>
    </w:p>
    <w:p w14:paraId="1CFDC114" w14:textId="00AC6DD9" w:rsidR="006025F6" w:rsidRPr="006025F6" w:rsidRDefault="006025F6" w:rsidP="006025F6">
      <w:pPr>
        <w:spacing w:after="0" w:line="240" w:lineRule="auto"/>
        <w:rPr>
          <w:color w:val="0070C0"/>
        </w:rPr>
      </w:pPr>
      <w:r w:rsidRPr="006025F6">
        <w:rPr>
          <w:color w:val="0070C0"/>
        </w:rPr>
        <w:t xml:space="preserve">Article Choice: </w:t>
      </w:r>
      <w:r w:rsidRPr="006025F6">
        <w:rPr>
          <w:color w:val="0070C0"/>
        </w:rPr>
        <w:t>5</w:t>
      </w:r>
      <w:r w:rsidRPr="006025F6">
        <w:rPr>
          <w:color w:val="0070C0"/>
        </w:rPr>
        <w:t>/5</w:t>
      </w:r>
    </w:p>
    <w:p w14:paraId="4DE4CB2C" w14:textId="58DB87EC" w:rsidR="006025F6" w:rsidRPr="006025F6" w:rsidRDefault="006025F6" w:rsidP="006025F6">
      <w:pPr>
        <w:spacing w:after="0" w:line="240" w:lineRule="auto"/>
        <w:rPr>
          <w:color w:val="0070C0"/>
        </w:rPr>
      </w:pPr>
      <w:r w:rsidRPr="006025F6">
        <w:rPr>
          <w:color w:val="0070C0"/>
        </w:rPr>
        <w:t xml:space="preserve">Summary: </w:t>
      </w:r>
      <w:r w:rsidRPr="006025F6">
        <w:rPr>
          <w:color w:val="0070C0"/>
        </w:rPr>
        <w:t>5</w:t>
      </w:r>
      <w:r w:rsidRPr="006025F6">
        <w:rPr>
          <w:color w:val="0070C0"/>
        </w:rPr>
        <w:t>/5</w:t>
      </w:r>
    </w:p>
    <w:p w14:paraId="5D532595" w14:textId="34854B51" w:rsidR="006025F6" w:rsidRPr="006025F6" w:rsidRDefault="006025F6" w:rsidP="006025F6">
      <w:pPr>
        <w:spacing w:after="0" w:line="240" w:lineRule="auto"/>
        <w:rPr>
          <w:color w:val="0070C0"/>
        </w:rPr>
      </w:pPr>
      <w:r w:rsidRPr="006025F6">
        <w:rPr>
          <w:color w:val="0070C0"/>
        </w:rPr>
        <w:t xml:space="preserve">Critique: </w:t>
      </w:r>
      <w:r w:rsidRPr="006025F6">
        <w:rPr>
          <w:color w:val="0070C0"/>
        </w:rPr>
        <w:t>7</w:t>
      </w:r>
      <w:r w:rsidRPr="006025F6">
        <w:rPr>
          <w:color w:val="0070C0"/>
        </w:rPr>
        <w:t>/7</w:t>
      </w:r>
    </w:p>
    <w:p w14:paraId="59D5B3B9" w14:textId="401F2CA3" w:rsidR="006025F6" w:rsidRPr="006025F6" w:rsidRDefault="006025F6" w:rsidP="006025F6">
      <w:pPr>
        <w:spacing w:after="0" w:line="240" w:lineRule="auto"/>
        <w:rPr>
          <w:color w:val="0070C0"/>
        </w:rPr>
      </w:pPr>
      <w:r w:rsidRPr="006025F6">
        <w:rPr>
          <w:color w:val="0070C0"/>
        </w:rPr>
        <w:t>Writing: X</w:t>
      </w:r>
      <w:r w:rsidRPr="006025F6">
        <w:rPr>
          <w:color w:val="0070C0"/>
        </w:rPr>
        <w:t>3</w:t>
      </w:r>
      <w:r w:rsidRPr="006025F6">
        <w:rPr>
          <w:color w:val="0070C0"/>
        </w:rPr>
        <w:t>3</w:t>
      </w:r>
    </w:p>
    <w:p w14:paraId="765C9DF0" w14:textId="08BD5850" w:rsidR="006025F6" w:rsidRPr="006025F6" w:rsidRDefault="006025F6" w:rsidP="006025F6">
      <w:pPr>
        <w:spacing w:after="0" w:line="240" w:lineRule="auto"/>
        <w:rPr>
          <w:color w:val="0070C0"/>
        </w:rPr>
      </w:pPr>
      <w:r w:rsidRPr="006025F6">
        <w:rPr>
          <w:color w:val="0070C0"/>
        </w:rPr>
        <w:t xml:space="preserve">Total: </w:t>
      </w:r>
      <w:r w:rsidRPr="006025F6">
        <w:rPr>
          <w:color w:val="0070C0"/>
        </w:rPr>
        <w:t>20/</w:t>
      </w:r>
      <w:r w:rsidRPr="006025F6">
        <w:rPr>
          <w:color w:val="0070C0"/>
        </w:rPr>
        <w:t>20</w:t>
      </w:r>
    </w:p>
    <w:p w14:paraId="366B3816" w14:textId="77777777" w:rsidR="006025F6" w:rsidRPr="009C3F79" w:rsidRDefault="006025F6" w:rsidP="009C3F79">
      <w:pPr>
        <w:rPr>
          <w:b/>
          <w:bCs/>
        </w:rPr>
      </w:pPr>
    </w:p>
    <w:p w14:paraId="01BA5058" w14:textId="178698D1" w:rsidR="009C3F79" w:rsidRPr="009C3F79" w:rsidRDefault="009C3F79" w:rsidP="009C3F79">
      <w:r w:rsidRPr="009C3F79">
        <w:t xml:space="preserve">The study by Hong et al. investigates </w:t>
      </w:r>
      <w:r w:rsidRPr="009C3F79">
        <w:rPr>
          <w:b/>
          <w:bCs/>
        </w:rPr>
        <w:t>TeacherGen@i</w:t>
      </w:r>
      <w:r w:rsidRPr="009C3F79">
        <w:t>, an experimental virtual reality (VR) training system developed to help prepare future teachers. Unlike traditional virtual teaching simulations that rely on rigid, pre-scripted dialogue trees, TeacherGen@i integrates generative AI</w:t>
      </w:r>
      <w:r>
        <w:t xml:space="preserve">, </w:t>
      </w:r>
      <w:r w:rsidRPr="009C3F79">
        <w:t>specifically OpenAI’s Whisper for speech-to-text and GPT-4 for conversational intelligence</w:t>
      </w:r>
      <w:r>
        <w:t xml:space="preserve"> </w:t>
      </w:r>
      <w:r w:rsidRPr="009C3F79">
        <w:t xml:space="preserve">to create dynamic, unscripted student avatars. These virtual agents exhibit simulated personalities, academic ability levels, learning preferences, and real-time facial expressions. </w:t>
      </w:r>
    </w:p>
    <w:p w14:paraId="63A8F744" w14:textId="32163481" w:rsidR="009C3F79" w:rsidRPr="009C3F79" w:rsidRDefault="009C3F79" w:rsidP="009C3F79">
      <w:r w:rsidRPr="009C3F79">
        <w:t xml:space="preserve">The authors used an explanatory case study design with a convergent parallel mixed-methods approach to examine how the tool functions in an authentic classroom setting. The participant pool included 23 undergraduate pre-service teachers enrolled across two asynchronous educational technology courses (CAT 100, </w:t>
      </w:r>
      <m:oMath>
        <m:r>
          <w:rPr>
            <w:rFonts w:ascii="Cambria Math" w:hAnsi="Cambria Math"/>
          </w:rPr>
          <m:t>n=10</m:t>
        </m:r>
      </m:oMath>
      <w:r w:rsidRPr="009C3F79">
        <w:t xml:space="preserve">; CAT 200, </w:t>
      </w:r>
      <m:oMath>
        <m:r>
          <w:rPr>
            <w:rFonts w:ascii="Cambria Math" w:hAnsi="Cambria Math"/>
          </w:rPr>
          <m:t>n=13</m:t>
        </m:r>
      </m:oMath>
      <w:r w:rsidRPr="009C3F79">
        <w:t xml:space="preserve">) at a public university in the southern United States. </w:t>
      </w:r>
      <w:commentRangeStart w:id="0"/>
      <w:r w:rsidRPr="009C3F79">
        <w:t xml:space="preserve">The study evaluated usability and instructional utility by triangulating three distinct data sources: post-simulation surveys, reflective journals, and computational text analysis using Linguistic Inquiry and Word Count </w:t>
      </w:r>
      <w:commentRangeEnd w:id="0"/>
      <w:r w:rsidR="006025F6" w:rsidRPr="009C3F79">
        <w:rPr>
          <w:rStyle w:val="CommentReference"/>
          <w:sz w:val="24"/>
          <w:szCs w:val="24"/>
        </w:rPr>
        <w:commentReference w:id="0"/>
      </w:r>
      <w:r w:rsidRPr="009C3F79">
        <w:t xml:space="preserve">(LIWC). The investigation was anchored in two instructional frameworks: Richard Mayer’s Cognitive Theory of Multimedia Learning (CTML) to evaluate interface design and information flow, and Robert Gagné’s Nine Events of Instruction to scaffold lesson delivery. </w:t>
      </w:r>
    </w:p>
    <w:p w14:paraId="6422C77E" w14:textId="4E7B748E" w:rsidR="009C3F79" w:rsidRPr="009C3F79" w:rsidRDefault="009C3F79" w:rsidP="009C3F79">
      <w:pPr>
        <w:rPr>
          <w:b/>
          <w:bCs/>
        </w:rPr>
      </w:pPr>
      <w:r w:rsidRPr="009C3F79">
        <w:rPr>
          <w:b/>
          <w:bCs/>
        </w:rPr>
        <w:t>Key Findings</w:t>
      </w:r>
      <w:r w:rsidR="00EC0E07">
        <w:rPr>
          <w:b/>
          <w:bCs/>
        </w:rPr>
        <w:t>:</w:t>
      </w:r>
    </w:p>
    <w:p w14:paraId="254C0ACF" w14:textId="77777777" w:rsidR="009C3F79" w:rsidRPr="009C3F79" w:rsidRDefault="009C3F79" w:rsidP="009C3F79">
      <w:pPr>
        <w:numPr>
          <w:ilvl w:val="0"/>
          <w:numId w:val="1"/>
        </w:numPr>
      </w:pPr>
      <w:r w:rsidRPr="009C3F79">
        <w:rPr>
          <w:b/>
          <w:bCs/>
        </w:rPr>
        <w:t>Authentic and Adaptive Interactions:</w:t>
      </w:r>
      <w:r w:rsidRPr="009C3F79">
        <w:t xml:space="preserve"> Participants consistently valued the AI avatars’ ability to provide responsive, non-scripted reactions. This allowed novice teachers to practice real-time instructional adaptations, such as using Socratic questioning for unmotivated learners and adjusting their pacing when students showed confusion. </w:t>
      </w:r>
    </w:p>
    <w:p w14:paraId="71477F76" w14:textId="77777777" w:rsidR="009C3F79" w:rsidRPr="009C3F79" w:rsidRDefault="009C3F79" w:rsidP="009C3F79">
      <w:pPr>
        <w:numPr>
          <w:ilvl w:val="0"/>
          <w:numId w:val="1"/>
        </w:numPr>
      </w:pPr>
      <w:r w:rsidRPr="009C3F79">
        <w:rPr>
          <w:b/>
          <w:bCs/>
        </w:rPr>
        <w:t>Structured Pedagogical Scaffolding:</w:t>
      </w:r>
      <w:r w:rsidRPr="009C3F79">
        <w:t xml:space="preserve"> Aligning the simulation tasks with Gagné’s instructional events provided a structured roadmap for lesson planning. This scaffolding helped reduce instructional anxiety and fostered teaching confidence during initial practice. </w:t>
      </w:r>
    </w:p>
    <w:p w14:paraId="5EF1D105" w14:textId="77777777" w:rsidR="009C3F79" w:rsidRPr="009C3F79" w:rsidRDefault="009C3F79" w:rsidP="009C3F79">
      <w:pPr>
        <w:numPr>
          <w:ilvl w:val="0"/>
          <w:numId w:val="1"/>
        </w:numPr>
      </w:pPr>
      <w:r w:rsidRPr="009C3F79">
        <w:rPr>
          <w:b/>
          <w:bCs/>
        </w:rPr>
        <w:t>Cognitive Bottlenecks in Multimedia Design:</w:t>
      </w:r>
      <w:r w:rsidRPr="009C3F79">
        <w:t xml:space="preserve"> Applying Mayer’s CTML principles exposed notable usability hurdles. The interface suffered from redundancy issues (overlapping spoken teacher dialogue and dense on-screen speech bubbles) and modality violations (an over-reliance on visual text combined with absent environmental audio cues), creating unnecessary cognitive strain. </w:t>
      </w:r>
    </w:p>
    <w:p w14:paraId="7DEC9018" w14:textId="1A13964C" w:rsidR="009C3F79" w:rsidRPr="009C3F79" w:rsidRDefault="009C3F79" w:rsidP="009C3F79">
      <w:pPr>
        <w:numPr>
          <w:ilvl w:val="0"/>
          <w:numId w:val="1"/>
        </w:numPr>
      </w:pPr>
      <w:r w:rsidRPr="009C3F79">
        <w:rPr>
          <w:b/>
          <w:bCs/>
        </w:rPr>
        <w:lastRenderedPageBreak/>
        <w:t>Technical Constraints:</w:t>
      </w:r>
      <w:r w:rsidRPr="009C3F79">
        <w:t xml:space="preserve"> Survey results showed that technical reliability scored lowest (</w:t>
      </w:r>
      <m:oMath>
        <m:r>
          <w:rPr>
            <w:rFonts w:ascii="Cambria Math" w:hAnsi="Cambria Math"/>
          </w:rPr>
          <m:t>M=2.28</m:t>
        </m:r>
      </m:oMath>
      <w:r w:rsidRPr="009C3F79">
        <w:t xml:space="preserve"> out of 5), hampered by speech processing lag, occasional system freezes, and file upload restrictions. </w:t>
      </w:r>
    </w:p>
    <w:p w14:paraId="7760DC68" w14:textId="48DC8231" w:rsidR="009C3F79" w:rsidRPr="009C3F79" w:rsidRDefault="009C3F79" w:rsidP="009C3F79">
      <w:pPr>
        <w:rPr>
          <w:b/>
          <w:bCs/>
        </w:rPr>
      </w:pPr>
      <w:r w:rsidRPr="009C3F79">
        <w:rPr>
          <w:b/>
          <w:bCs/>
        </w:rPr>
        <w:t>Strengths of the Paper</w:t>
      </w:r>
      <w:r w:rsidR="00EC0E07">
        <w:rPr>
          <w:b/>
          <w:bCs/>
        </w:rPr>
        <w:t>:</w:t>
      </w:r>
    </w:p>
    <w:p w14:paraId="59F46D01" w14:textId="77777777" w:rsidR="009C3F79" w:rsidRPr="009C3F79" w:rsidRDefault="009C3F79" w:rsidP="009C3F79">
      <w:pPr>
        <w:numPr>
          <w:ilvl w:val="0"/>
          <w:numId w:val="2"/>
        </w:numPr>
      </w:pPr>
      <w:r w:rsidRPr="009C3F79">
        <w:rPr>
          <w:b/>
          <w:bCs/>
        </w:rPr>
        <w:t>Dual-Theoretical Foundation:</w:t>
      </w:r>
      <w:r w:rsidRPr="009C3F79">
        <w:t xml:space="preserve"> Rather than evaluating VR as an isolated piece of hardware, the authors purposefully grounded the interface design and learning sequence in proven cognitive and pedagogical models (CTML and Gagné). This provided clear diagnostic criteria to measure pedagogical usability rather than mere surface-level functionality. </w:t>
      </w:r>
    </w:p>
    <w:p w14:paraId="11069682" w14:textId="1E6197B7" w:rsidR="009C3F79" w:rsidRPr="009C3F79" w:rsidRDefault="009C3F79" w:rsidP="009C3F79">
      <w:pPr>
        <w:numPr>
          <w:ilvl w:val="0"/>
          <w:numId w:val="2"/>
        </w:numPr>
      </w:pPr>
      <w:r w:rsidRPr="009C3F79">
        <w:rPr>
          <w:b/>
          <w:bCs/>
        </w:rPr>
        <w:t>Robust Methodological Triangulation:</w:t>
      </w:r>
      <w:r w:rsidRPr="009C3F79">
        <w:t xml:space="preserve"> By pairing self-reported survey ratings and qualitative reflection logs with automated linguistic analysis (LIWC), the researchers confirmed genuine cognitive engagement</w:t>
      </w:r>
      <w:r>
        <w:t xml:space="preserve"> </w:t>
      </w:r>
      <w:r w:rsidRPr="009C3F79">
        <w:t>such as analytical insight markers correlating with social reflection</w:t>
      </w:r>
      <w:r>
        <w:t xml:space="preserve">, </w:t>
      </w:r>
      <w:r w:rsidRPr="009C3F79">
        <w:t xml:space="preserve">minimizing the risk of superficial or performative survey responses. </w:t>
      </w:r>
    </w:p>
    <w:p w14:paraId="44C8B638" w14:textId="77777777" w:rsidR="009C3F79" w:rsidRPr="009C3F79" w:rsidRDefault="009C3F79" w:rsidP="009C3F79">
      <w:pPr>
        <w:numPr>
          <w:ilvl w:val="0"/>
          <w:numId w:val="2"/>
        </w:numPr>
      </w:pPr>
      <w:r w:rsidRPr="009C3F79">
        <w:rPr>
          <w:b/>
          <w:bCs/>
        </w:rPr>
        <w:t>Closed-Loop Formative Design:</w:t>
      </w:r>
      <w:r w:rsidRPr="009C3F79">
        <w:t xml:space="preserve"> The study documents an actionable design cycle where empirical user feedback directly drove system refinements, such as turning off automatic subtitles and dynamically timing speech bubbles to mitigate visual clutter. </w:t>
      </w:r>
    </w:p>
    <w:p w14:paraId="630356A3" w14:textId="128664FA" w:rsidR="009C3F79" w:rsidRPr="009C3F79" w:rsidRDefault="009C3F79" w:rsidP="009C3F79">
      <w:pPr>
        <w:rPr>
          <w:b/>
          <w:bCs/>
        </w:rPr>
      </w:pPr>
      <w:r w:rsidRPr="009C3F79">
        <w:rPr>
          <w:b/>
          <w:bCs/>
        </w:rPr>
        <w:t>Expanded Critical Evaluation: Weaknesses and Impact on Credibility</w:t>
      </w:r>
      <w:r w:rsidR="00EC0E07">
        <w:rPr>
          <w:b/>
          <w:bCs/>
        </w:rPr>
        <w:t>:</w:t>
      </w:r>
    </w:p>
    <w:p w14:paraId="121F9252" w14:textId="77777777" w:rsidR="009C3F79" w:rsidRPr="009C3F79" w:rsidRDefault="009C3F79" w:rsidP="009C3F79">
      <w:r w:rsidRPr="009C3F79">
        <w:t xml:space="preserve">While Hong et al. deliver valuable exploratory insights, three core methodological limitations directly constrain the credibility, transferability, and generalizability of their conclusions: </w:t>
      </w:r>
    </w:p>
    <w:p w14:paraId="603D04DE" w14:textId="30B107D6" w:rsidR="009C3F79" w:rsidRPr="009C3F79" w:rsidRDefault="009C3F79" w:rsidP="009C3F79">
      <w:pPr>
        <w:numPr>
          <w:ilvl w:val="0"/>
          <w:numId w:val="3"/>
        </w:numPr>
      </w:pPr>
      <w:r w:rsidRPr="009C3F79">
        <w:rPr>
          <w:b/>
          <w:bCs/>
        </w:rPr>
        <w:t>Small, Single-Site Sample Limits Generalizability (</w:t>
      </w:r>
      <m:oMath>
        <m:r>
          <w:rPr>
            <w:rFonts w:ascii="Cambria Math" w:hAnsi="Cambria Math"/>
          </w:rPr>
          <m:t>N=23</m:t>
        </m:r>
      </m:oMath>
      <w:r w:rsidRPr="009C3F79">
        <w:rPr>
          <w:b/>
          <w:bCs/>
        </w:rPr>
        <w:t>)</w:t>
      </w:r>
      <w:r w:rsidR="00EC0E07">
        <w:rPr>
          <w:b/>
          <w:bCs/>
        </w:rPr>
        <w:t>:</w:t>
      </w:r>
    </w:p>
    <w:p w14:paraId="1FF09184" w14:textId="77777777" w:rsidR="009C3F79" w:rsidRPr="009C3F79" w:rsidRDefault="009C3F79" w:rsidP="009C3F79">
      <w:pPr>
        <w:ind w:left="720"/>
      </w:pPr>
      <w:r w:rsidRPr="009C3F79">
        <w:t xml:space="preserve">The entire study relies on 23 undergraduate students from one university, instructed asynchronously by a single instructor who was also a primary researcher. </w:t>
      </w:r>
    </w:p>
    <w:p w14:paraId="6B0B38C3" w14:textId="77777777" w:rsidR="009C3F79" w:rsidRDefault="009C3F79" w:rsidP="009C3F79">
      <w:pPr>
        <w:numPr>
          <w:ilvl w:val="1"/>
          <w:numId w:val="3"/>
        </w:numPr>
      </w:pPr>
      <w:r w:rsidRPr="009C3F79">
        <w:rPr>
          <w:i/>
          <w:iCs/>
        </w:rPr>
        <w:t>Why this affects credibility:</w:t>
      </w:r>
      <w:r w:rsidRPr="009C3F79">
        <w:t xml:space="preserve"> A small convenience sample from a uniform course environment makes it impossible to know whether the perceived usability was driven by the specific lesson scripts provided or the unique student demographic. Without testing across diverse academic disciplines (e.g., secondary STEM vs. elementary humanities) or multiple institutions, we cannot determine if these positive perceptions represent general teacher readiness or just the reactions of a single small cohort. </w:t>
      </w:r>
    </w:p>
    <w:p w14:paraId="023F03B7" w14:textId="77777777" w:rsidR="009C3F79" w:rsidRPr="009C3F79" w:rsidRDefault="009C3F79" w:rsidP="009C3F79">
      <w:pPr>
        <w:ind w:left="1440"/>
      </w:pPr>
    </w:p>
    <w:p w14:paraId="288D7971" w14:textId="3D4F926C" w:rsidR="009C3F79" w:rsidRPr="009C3F79" w:rsidRDefault="009C3F79" w:rsidP="009C3F79">
      <w:pPr>
        <w:numPr>
          <w:ilvl w:val="0"/>
          <w:numId w:val="3"/>
        </w:numPr>
      </w:pPr>
      <w:r w:rsidRPr="009C3F79">
        <w:rPr>
          <w:b/>
          <w:bCs/>
        </w:rPr>
        <w:t xml:space="preserve">The </w:t>
      </w:r>
      <w:commentRangeStart w:id="1"/>
      <w:r w:rsidRPr="009C3F79">
        <w:rPr>
          <w:b/>
          <w:bCs/>
        </w:rPr>
        <w:t xml:space="preserve">"Novelty Effect" </w:t>
      </w:r>
      <w:commentRangeEnd w:id="1"/>
      <w:r w:rsidR="00C8612D" w:rsidRPr="009C3F79">
        <w:rPr>
          <w:rStyle w:val="CommentReference"/>
          <w:b/>
          <w:bCs/>
          <w:sz w:val="24"/>
          <w:szCs w:val="24"/>
        </w:rPr>
        <w:commentReference w:id="1"/>
      </w:r>
      <w:r w:rsidRPr="009C3F79">
        <w:rPr>
          <w:b/>
          <w:bCs/>
        </w:rPr>
        <w:t>of Short-Term Exposure (10–15 Minutes)</w:t>
      </w:r>
      <w:r w:rsidR="00EC0E07">
        <w:rPr>
          <w:b/>
          <w:bCs/>
        </w:rPr>
        <w:t>:</w:t>
      </w:r>
    </w:p>
    <w:p w14:paraId="5678AD68" w14:textId="5054668B" w:rsidR="009C3F79" w:rsidRPr="009C3F79" w:rsidRDefault="009C3F79" w:rsidP="009C3F79">
      <w:pPr>
        <w:ind w:left="720"/>
      </w:pPr>
      <w:r w:rsidRPr="009C3F79">
        <w:t>Participants interacted with the TeacherGen@i simulation for only a single 10 to 15</w:t>
      </w:r>
      <w:r>
        <w:t xml:space="preserve"> </w:t>
      </w:r>
      <w:r w:rsidRPr="009C3F79">
        <w:t xml:space="preserve">minute trial before writing their reflections and completing the survey. </w:t>
      </w:r>
    </w:p>
    <w:p w14:paraId="6EA141F3" w14:textId="6CDC35E9" w:rsidR="009C3F79" w:rsidRPr="009C3F79" w:rsidRDefault="009C3F79" w:rsidP="009C3F79">
      <w:pPr>
        <w:numPr>
          <w:ilvl w:val="1"/>
          <w:numId w:val="3"/>
        </w:numPr>
      </w:pPr>
      <w:r w:rsidRPr="009C3F79">
        <w:rPr>
          <w:i/>
          <w:iCs/>
        </w:rPr>
        <w:t>Why this affects credibility:</w:t>
      </w:r>
      <w:r w:rsidRPr="009C3F79">
        <w:t xml:space="preserve"> A brief 15-minute session measures first impressions and the "wow factor" of novel AI tech rather than meaningful pedagogical growth. Crucially, participants gave "intention for future use" a relatively low score (</w:t>
      </w:r>
      <m:oMath>
        <m:r>
          <w:rPr>
            <w:rFonts w:ascii="Cambria Math" w:hAnsi="Cambria Math"/>
          </w:rPr>
          <m:t>M=2.89</m:t>
        </m:r>
      </m:oMath>
      <w:r w:rsidRPr="009C3F79">
        <w:t xml:space="preserve">), and some noted that Gagné's rigid scaffolding began to feel constraining. Without a longitudinal design that tracks pre-service teachers over multiple weeks, the claim that AI simulations </w:t>
      </w:r>
      <w:r w:rsidRPr="009C3F79">
        <w:lastRenderedPageBreak/>
        <w:t xml:space="preserve">build lasting teaching competencies remains an untested hypothesis rather than an empirically demonstrated outcome. </w:t>
      </w:r>
    </w:p>
    <w:p w14:paraId="3B6BF8F2" w14:textId="4B70B153" w:rsidR="009C3F79" w:rsidRPr="009C3F79" w:rsidRDefault="009C3F79" w:rsidP="009C3F79">
      <w:pPr>
        <w:numPr>
          <w:ilvl w:val="0"/>
          <w:numId w:val="3"/>
        </w:numPr>
      </w:pPr>
      <w:r w:rsidRPr="009C3F79">
        <w:rPr>
          <w:b/>
          <w:bCs/>
        </w:rPr>
        <w:t>Unexamined Algorithmic Bias and Pedagogical Misrepresentation</w:t>
      </w:r>
      <w:r w:rsidR="00EC0E07">
        <w:rPr>
          <w:b/>
          <w:bCs/>
        </w:rPr>
        <w:t>:</w:t>
      </w:r>
    </w:p>
    <w:p w14:paraId="383A2485" w14:textId="77777777" w:rsidR="009C3F79" w:rsidRPr="009C3F79" w:rsidRDefault="009C3F79" w:rsidP="009C3F79">
      <w:pPr>
        <w:ind w:left="720"/>
      </w:pPr>
      <w:r w:rsidRPr="009C3F79">
        <w:t xml:space="preserve">The simulation relies on predefined student personas (e.g., "William," who struggles with math and withdraws, or "Sophia," who is labeled gifted and impatient) filtered through commercial large language models (GPT-4). </w:t>
      </w:r>
    </w:p>
    <w:p w14:paraId="2997DC88" w14:textId="77777777" w:rsidR="009C3F79" w:rsidRPr="009C3F79" w:rsidRDefault="009C3F79" w:rsidP="009C3F79">
      <w:pPr>
        <w:numPr>
          <w:ilvl w:val="1"/>
          <w:numId w:val="3"/>
        </w:numPr>
      </w:pPr>
      <w:r w:rsidRPr="009C3F79">
        <w:rPr>
          <w:i/>
          <w:iCs/>
        </w:rPr>
        <w:t>Why this affects credibility:</w:t>
      </w:r>
      <w:r w:rsidRPr="009C3F79">
        <w:t xml:space="preserve"> The authors acknowledge diversity as an ethical consideration, but they </w:t>
      </w:r>
      <w:commentRangeStart w:id="2"/>
      <w:r w:rsidRPr="009C3F79">
        <w:t>do not evaluate how foundational LLMs naturally carry cultural and behavioral biases.</w:t>
      </w:r>
      <w:commentRangeEnd w:id="2"/>
      <w:r w:rsidR="001228B1" w:rsidRPr="009C3F79">
        <w:rPr>
          <w:rStyle w:val="CommentReference"/>
          <w:sz w:val="24"/>
          <w:szCs w:val="24"/>
        </w:rPr>
        <w:commentReference w:id="2"/>
      </w:r>
      <w:r w:rsidRPr="009C3F79">
        <w:t xml:space="preserve"> In a teacher education context, simplifying complex student learning behaviors into rigid prompt archetypes risks reinforcing harmful stereotypes about struggling or gifted learners. If the AI’s generative dialogue produces caricatured responses rather than genuine adolescent behavior, teacher candidates may develop distorted classroom management instincts that fail in authentic, diverse classrooms. </w:t>
      </w:r>
    </w:p>
    <w:p w14:paraId="41F41B8F" w14:textId="306C727B" w:rsidR="009C3F79" w:rsidRPr="009C3F79" w:rsidRDefault="009C3F79" w:rsidP="009C3F79">
      <w:pPr>
        <w:rPr>
          <w:b/>
          <w:bCs/>
        </w:rPr>
      </w:pPr>
      <w:r w:rsidRPr="009C3F79">
        <w:rPr>
          <w:b/>
          <w:bCs/>
        </w:rPr>
        <w:t xml:space="preserve">Practical </w:t>
      </w:r>
      <w:r w:rsidR="00EC0E07">
        <w:rPr>
          <w:b/>
          <w:bCs/>
        </w:rPr>
        <w:t>Takeaways:</w:t>
      </w:r>
    </w:p>
    <w:p w14:paraId="4CD201BC" w14:textId="727F781E" w:rsidR="009C3F79" w:rsidRPr="009C3F79" w:rsidRDefault="009C3F79" w:rsidP="009C3F79">
      <w:r w:rsidRPr="009C3F79">
        <w:t xml:space="preserve">TeacherGen@i proves that generative AI can successfully break virtual teaching tools out of rigid, scripted pathways to create responsive practice environments. However, high-level AI capability does not automatically yield instructional quality. System designers must respect cognitive multimedia limits to avoid sensory overload, while </w:t>
      </w:r>
      <w:commentRangeStart w:id="3"/>
      <w:r w:rsidRPr="009C3F79">
        <w:t>teacher preparation programs must treat AI simulations as low-stakes supplementary rehearsal spaces</w:t>
      </w:r>
      <w:r>
        <w:t xml:space="preserve"> </w:t>
      </w:r>
      <w:r w:rsidRPr="009C3F79">
        <w:t>never as complete substitutes for clinical, human classroom experiences</w:t>
      </w:r>
      <w:commentRangeEnd w:id="3"/>
      <w:r w:rsidR="00F55B2A" w:rsidRPr="009C3F79">
        <w:rPr>
          <w:rStyle w:val="CommentReference"/>
          <w:sz w:val="24"/>
          <w:szCs w:val="24"/>
        </w:rPr>
        <w:commentReference w:id="3"/>
      </w:r>
      <w:r w:rsidRPr="009C3F79">
        <w:t>.</w:t>
      </w:r>
    </w:p>
    <w:p w14:paraId="4B5DDFD8" w14:textId="77777777" w:rsidR="009C3F79" w:rsidRDefault="009C3F79"/>
    <w:sectPr w:rsidR="009C3F79" w:rsidSect="004C61F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Thompson, Penny" w:date="2026-10-11T15:17:00Z" w:initials="PT">
    <w:p w14:paraId="7931445E" w14:textId="5120DEBE" w:rsidR="006025F6" w:rsidRDefault="006025F6">
      <w:pPr>
        <w:pStyle w:val="CommentText"/>
      </w:pPr>
      <w:r>
        <w:rPr>
          <w:rStyle w:val="CommentReference"/>
        </w:rPr>
        <w:annotationRef/>
      </w:r>
      <w:r>
        <w:t>I’d like to see a bit more detail on this.</w:t>
      </w:r>
    </w:p>
  </w:comment>
  <w:comment w:id="1" w:author="Thompson, Penny" w:date="2026-10-11T15:14:00Z" w:initials="PT">
    <w:p w14:paraId="59396B22" w14:textId="58BB901E" w:rsidR="00C8612D" w:rsidRDefault="00C8612D">
      <w:pPr>
        <w:pStyle w:val="CommentText"/>
      </w:pPr>
      <w:r>
        <w:rPr>
          <w:rStyle w:val="CommentReference"/>
        </w:rPr>
        <w:annotationRef/>
      </w:r>
      <w:r>
        <w:t>This is a really important point to note.</w:t>
      </w:r>
    </w:p>
  </w:comment>
  <w:comment w:id="2" w:author="Thompson, Penny" w:date="2026-10-11T15:15:00Z" w:initials="PT">
    <w:p w14:paraId="3A24B429" w14:textId="31D2105E" w:rsidR="001228B1" w:rsidRDefault="001228B1">
      <w:pPr>
        <w:pStyle w:val="CommentText"/>
      </w:pPr>
      <w:r>
        <w:rPr>
          <w:rStyle w:val="CommentReference"/>
        </w:rPr>
        <w:annotationRef/>
      </w:r>
      <w:r>
        <w:t>Another really important point.</w:t>
      </w:r>
    </w:p>
  </w:comment>
  <w:comment w:id="3" w:author="Thompson, Penny" w:date="2026-10-11T15:16:00Z" w:initials="PT">
    <w:p w14:paraId="1AD091DF" w14:textId="1ABD9E56" w:rsidR="00F55B2A" w:rsidRDefault="00F55B2A">
      <w:pPr>
        <w:pStyle w:val="CommentText"/>
      </w:pPr>
      <w:r>
        <w:rPr>
          <w:rStyle w:val="CommentReference"/>
        </w:rPr>
        <w:annotationRef/>
      </w:r>
      <w:r w:rsidR="00DC5D21">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931445E" w15:done="0"/>
  <w15:commentEx w15:paraId="59396B22" w15:done="0"/>
  <w15:commentEx w15:paraId="3A24B429" w15:done="0"/>
  <w15:commentEx w15:paraId="1AD091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B6EF1A4" w16cex:dateUtc="2026-10-11T20:17:00Z"/>
  <w16cex:commentExtensible w16cex:durableId="29774CB6" w16cex:dateUtc="2026-10-11T20:14:00Z"/>
  <w16cex:commentExtensible w16cex:durableId="46A6149A" w16cex:dateUtc="2026-10-11T20:15:00Z"/>
  <w16cex:commentExtensible w16cex:durableId="3E90D1FE" w16cex:dateUtc="2026-10-11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931445E" w16cid:durableId="5B6EF1A4"/>
  <w16cid:commentId w16cid:paraId="59396B22" w16cid:durableId="29774CB6"/>
  <w16cid:commentId w16cid:paraId="3A24B429" w16cid:durableId="46A6149A"/>
  <w16cid:commentId w16cid:paraId="1AD091DF" w16cid:durableId="3E90D1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03495"/>
    <w:multiLevelType w:val="multilevel"/>
    <w:tmpl w:val="00F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C6828"/>
    <w:multiLevelType w:val="multilevel"/>
    <w:tmpl w:val="419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A29A9"/>
    <w:multiLevelType w:val="multilevel"/>
    <w:tmpl w:val="05A6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17173">
    <w:abstractNumId w:val="0"/>
  </w:num>
  <w:num w:numId="2" w16cid:durableId="2080908582">
    <w:abstractNumId w:val="1"/>
  </w:num>
  <w:num w:numId="3" w16cid:durableId="20611283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ompson, Penny">
    <w15:presenceInfo w15:providerId="AD" w15:userId="S::penny.thompson@okstate.edu::1cd33d65-50ec-4ffe-8093-1d1a7280d07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79"/>
    <w:rsid w:val="001228B1"/>
    <w:rsid w:val="004C61F8"/>
    <w:rsid w:val="006025F6"/>
    <w:rsid w:val="009C3F79"/>
    <w:rsid w:val="00A548F4"/>
    <w:rsid w:val="00C8612D"/>
    <w:rsid w:val="00D94CFD"/>
    <w:rsid w:val="00DC5D21"/>
    <w:rsid w:val="00EC0E07"/>
    <w:rsid w:val="00F55878"/>
    <w:rsid w:val="00F5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4EB8"/>
  <w15:chartTrackingRefBased/>
  <w15:docId w15:val="{12402A0E-3ED5-4AB3-A77F-3BC67E92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F79"/>
    <w:rPr>
      <w:rFonts w:eastAsiaTheme="majorEastAsia" w:cstheme="majorBidi"/>
      <w:color w:val="272727" w:themeColor="text1" w:themeTint="D8"/>
    </w:rPr>
  </w:style>
  <w:style w:type="paragraph" w:styleId="Title">
    <w:name w:val="Title"/>
    <w:basedOn w:val="Normal"/>
    <w:next w:val="Normal"/>
    <w:link w:val="TitleChar"/>
    <w:uiPriority w:val="10"/>
    <w:qFormat/>
    <w:rsid w:val="009C3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F79"/>
    <w:pPr>
      <w:spacing w:before="160"/>
      <w:jc w:val="center"/>
    </w:pPr>
    <w:rPr>
      <w:i/>
      <w:iCs/>
      <w:color w:val="404040" w:themeColor="text1" w:themeTint="BF"/>
    </w:rPr>
  </w:style>
  <w:style w:type="character" w:customStyle="1" w:styleId="QuoteChar">
    <w:name w:val="Quote Char"/>
    <w:basedOn w:val="DefaultParagraphFont"/>
    <w:link w:val="Quote"/>
    <w:uiPriority w:val="29"/>
    <w:rsid w:val="009C3F79"/>
    <w:rPr>
      <w:i/>
      <w:iCs/>
      <w:color w:val="404040" w:themeColor="text1" w:themeTint="BF"/>
    </w:rPr>
  </w:style>
  <w:style w:type="paragraph" w:styleId="ListParagraph">
    <w:name w:val="List Paragraph"/>
    <w:basedOn w:val="Normal"/>
    <w:uiPriority w:val="34"/>
    <w:qFormat/>
    <w:rsid w:val="009C3F79"/>
    <w:pPr>
      <w:ind w:left="720"/>
      <w:contextualSpacing/>
    </w:pPr>
  </w:style>
  <w:style w:type="character" w:styleId="IntenseEmphasis">
    <w:name w:val="Intense Emphasis"/>
    <w:basedOn w:val="DefaultParagraphFont"/>
    <w:uiPriority w:val="21"/>
    <w:qFormat/>
    <w:rsid w:val="009C3F79"/>
    <w:rPr>
      <w:i/>
      <w:iCs/>
      <w:color w:val="0F4761" w:themeColor="accent1" w:themeShade="BF"/>
    </w:rPr>
  </w:style>
  <w:style w:type="paragraph" w:styleId="IntenseQuote">
    <w:name w:val="Intense Quote"/>
    <w:basedOn w:val="Normal"/>
    <w:next w:val="Normal"/>
    <w:link w:val="IntenseQuoteChar"/>
    <w:uiPriority w:val="30"/>
    <w:qFormat/>
    <w:rsid w:val="009C3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F79"/>
    <w:rPr>
      <w:i/>
      <w:iCs/>
      <w:color w:val="0F4761" w:themeColor="accent1" w:themeShade="BF"/>
    </w:rPr>
  </w:style>
  <w:style w:type="character" w:styleId="IntenseReference">
    <w:name w:val="Intense Reference"/>
    <w:basedOn w:val="DefaultParagraphFont"/>
    <w:uiPriority w:val="32"/>
    <w:qFormat/>
    <w:rsid w:val="009C3F79"/>
    <w:rPr>
      <w:b/>
      <w:bCs/>
      <w:smallCaps/>
      <w:color w:val="0F4761" w:themeColor="accent1" w:themeShade="BF"/>
      <w:spacing w:val="5"/>
    </w:rPr>
  </w:style>
  <w:style w:type="character" w:styleId="CommentReference">
    <w:name w:val="annotation reference"/>
    <w:basedOn w:val="DefaultParagraphFont"/>
    <w:uiPriority w:val="99"/>
    <w:semiHidden/>
    <w:unhideWhenUsed/>
    <w:rsid w:val="00C8612D"/>
    <w:rPr>
      <w:sz w:val="16"/>
      <w:szCs w:val="16"/>
    </w:rPr>
  </w:style>
  <w:style w:type="paragraph" w:styleId="CommentText">
    <w:name w:val="annotation text"/>
    <w:basedOn w:val="Normal"/>
    <w:link w:val="CommentTextChar"/>
    <w:uiPriority w:val="99"/>
    <w:semiHidden/>
    <w:unhideWhenUsed/>
    <w:rsid w:val="00C8612D"/>
    <w:pPr>
      <w:spacing w:line="240" w:lineRule="auto"/>
    </w:pPr>
    <w:rPr>
      <w:sz w:val="20"/>
      <w:szCs w:val="20"/>
    </w:rPr>
  </w:style>
  <w:style w:type="character" w:customStyle="1" w:styleId="CommentTextChar">
    <w:name w:val="Comment Text Char"/>
    <w:basedOn w:val="DefaultParagraphFont"/>
    <w:link w:val="CommentText"/>
    <w:uiPriority w:val="99"/>
    <w:semiHidden/>
    <w:rsid w:val="00C8612D"/>
    <w:rPr>
      <w:sz w:val="20"/>
      <w:szCs w:val="20"/>
    </w:rPr>
  </w:style>
  <w:style w:type="paragraph" w:styleId="CommentSubject">
    <w:name w:val="annotation subject"/>
    <w:basedOn w:val="CommentText"/>
    <w:next w:val="CommentText"/>
    <w:link w:val="CommentSubjectChar"/>
    <w:uiPriority w:val="99"/>
    <w:semiHidden/>
    <w:unhideWhenUsed/>
    <w:rsid w:val="00C8612D"/>
    <w:rPr>
      <w:b/>
      <w:bCs/>
    </w:rPr>
  </w:style>
  <w:style w:type="character" w:customStyle="1" w:styleId="CommentSubjectChar">
    <w:name w:val="Comment Subject Char"/>
    <w:basedOn w:val="CommentTextChar"/>
    <w:link w:val="CommentSubject"/>
    <w:uiPriority w:val="99"/>
    <w:semiHidden/>
    <w:rsid w:val="00C861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shamsheer ali</dc:creator>
  <cp:keywords/>
  <dc:description/>
  <cp:lastModifiedBy>Thompson, Penny</cp:lastModifiedBy>
  <cp:revision>9</cp:revision>
  <dcterms:created xsi:type="dcterms:W3CDTF">2026-10-02T19:46:00Z</dcterms:created>
  <dcterms:modified xsi:type="dcterms:W3CDTF">2026-10-11T20:19:00Z</dcterms:modified>
</cp:coreProperties>
</file>