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Contractor &amp; Vendor Guidelines 2026</w:t>
      </w:r>
    </w:p>
    <w:p>
      <w:pPr>
        <w:pStyle w:val="Heading1"/>
      </w:pPr>
      <w:r>
        <w:t>1. Billing and Invoicing</w:t>
      </w:r>
    </w:p>
    <w:p>
      <w:r>
        <w:t>All contractors must submit invoices by the 5th business day of each month. Payment terms are strictly Net 30 from the date of invoice approval.</w:t>
      </w:r>
    </w:p>
    <w:p>
      <w:pPr>
        <w:pStyle w:val="Heading1"/>
      </w:pPr>
      <w:r>
        <w:t>2. Benefits &amp; Paid Time Off Exclusions</w:t>
      </w:r>
    </w:p>
    <w:p>
      <w:r>
        <w:t>Contractors operate under independent service agreements and are not eligible for corporate benefits, paid time off (PTO), health insurance, or parental leave.</w:t>
      </w:r>
    </w:p>
    <w:p>
      <w:pPr>
        <w:pStyle w:val="Heading1"/>
      </w:pPr>
      <w:r>
        <w:t>3. Equipment &amp; Security</w:t>
      </w:r>
    </w:p>
    <w:p>
      <w:r>
        <w:t>Contractors must use VPN access with two-factor authentication (2FA) when accessing internal git repositories.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