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14" w:rsidRDefault="003774FF" w:rsidP="003774FF">
      <w:pPr>
        <w:spacing w:after="0" w:line="240" w:lineRule="auto"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 w:rsidRPr="003774FF">
        <w:rPr>
          <w:rFonts w:ascii="Times New Roman" w:eastAsiaTheme="minorHAnsi" w:hAnsi="Times New Roman"/>
          <w:b/>
          <w:sz w:val="28"/>
          <w:szCs w:val="28"/>
          <w:lang w:val="uz-Cyrl-UZ"/>
        </w:rPr>
        <w:t>«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ЕОИИ га аъзо д</w:t>
      </w:r>
      <w:r w:rsidR="00E16C6C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а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влатлар билан саноат кооперациясини  ривожлантириш истиқболлари</w:t>
      </w:r>
      <w:r w:rsidRPr="003774FF">
        <w:rPr>
          <w:rFonts w:ascii="Times New Roman" w:eastAsiaTheme="minorHAnsi" w:hAnsi="Times New Roman"/>
          <w:b/>
          <w:bCs/>
          <w:sz w:val="28"/>
          <w:szCs w:val="28"/>
        </w:rPr>
        <w:t>»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 xml:space="preserve"> мавзусида ташкил этилган </w:t>
      </w:r>
    </w:p>
    <w:p w:rsidR="00294BF4" w:rsidRPr="00E5257D" w:rsidRDefault="0013701D" w:rsidP="00BB7214">
      <w:pPr>
        <w:spacing w:line="240" w:lineRule="auto"/>
        <w:contextualSpacing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 xml:space="preserve">видео </w:t>
      </w:r>
      <w:r w:rsidR="0035723C"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 xml:space="preserve">конференция </w:t>
      </w: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>йиғилиши</w:t>
      </w:r>
    </w:p>
    <w:p w:rsidR="0013701D" w:rsidRPr="00E47838" w:rsidRDefault="0013701D" w:rsidP="00BB7214">
      <w:pPr>
        <w:spacing w:line="240" w:lineRule="auto"/>
        <w:contextualSpacing/>
        <w:jc w:val="center"/>
        <w:rPr>
          <w:rFonts w:ascii="Times New Roman" w:hAnsi="Times New Roman"/>
          <w:noProof/>
          <w:sz w:val="25"/>
          <w:szCs w:val="25"/>
          <w:lang w:val="uz-Cyrl-UZ"/>
        </w:rPr>
      </w:pP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>ДАСТУРИ</w:t>
      </w:r>
    </w:p>
    <w:p w:rsidR="0035723C" w:rsidRPr="00E47838" w:rsidRDefault="0035723C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</w:p>
    <w:p w:rsidR="00EA21CA" w:rsidRPr="00E47838" w:rsidRDefault="003774FF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  <w:r>
        <w:rPr>
          <w:rFonts w:ascii="Times New Roman" w:hAnsi="Times New Roman"/>
          <w:sz w:val="25"/>
          <w:szCs w:val="25"/>
          <w:lang w:val="uz-Cyrl-UZ"/>
        </w:rPr>
        <w:t>2021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йил </w:t>
      </w:r>
      <w:r w:rsidR="00D72ADA">
        <w:rPr>
          <w:rFonts w:ascii="Times New Roman" w:hAnsi="Times New Roman"/>
          <w:sz w:val="25"/>
          <w:szCs w:val="25"/>
          <w:lang w:val="uz-Cyrl-UZ"/>
        </w:rPr>
        <w:t xml:space="preserve">19 </w:t>
      </w:r>
      <w:r>
        <w:rPr>
          <w:rFonts w:ascii="Times New Roman" w:hAnsi="Times New Roman"/>
          <w:sz w:val="25"/>
          <w:szCs w:val="25"/>
          <w:lang w:val="uz-Cyrl-UZ"/>
        </w:rPr>
        <w:t>февраль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7D1ACE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соат </w:t>
      </w:r>
      <w:r w:rsidR="00EA21CA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1</w:t>
      </w:r>
      <w:r w:rsidR="00C25415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4</w:t>
      </w:r>
      <w:r w:rsidR="00BD1049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:</w:t>
      </w:r>
      <w:r w:rsidR="00C25415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3</w:t>
      </w:r>
      <w:r w:rsidR="00EA21CA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0</w:t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</w:p>
    <w:p w:rsidR="00EA21CA" w:rsidRPr="001B1E38" w:rsidRDefault="00EA21CA" w:rsidP="00E16C6C">
      <w:pPr>
        <w:spacing w:line="240" w:lineRule="auto"/>
        <w:contextualSpacing/>
        <w:jc w:val="both"/>
        <w:rPr>
          <w:rFonts w:ascii="Times New Roman" w:hAnsi="Times New Roman"/>
          <w:sz w:val="16"/>
          <w:szCs w:val="16"/>
          <w:lang w:val="uz-Cyrl-UZ"/>
        </w:rPr>
      </w:pPr>
    </w:p>
    <w:p w:rsidR="001E29E7" w:rsidRPr="003C438C" w:rsidRDefault="001E29E7" w:rsidP="003C438C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z-Cyrl-UZ"/>
        </w:rPr>
      </w:pPr>
      <w:r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Йиғилиш иштирокчилари: </w:t>
      </w:r>
      <w:r w:rsidR="005C020F"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- </w:t>
      </w:r>
      <w:r w:rsidR="00174E66" w:rsidRPr="008559D5">
        <w:rPr>
          <w:rFonts w:ascii="Times New Roman" w:hAnsi="Times New Roman"/>
          <w:sz w:val="25"/>
          <w:szCs w:val="25"/>
          <w:lang w:val="uz-Cyrl-UZ"/>
        </w:rPr>
        <w:t>Олий Мажлис Қонунчилик палатаси</w:t>
      </w:r>
      <w:r w:rsidR="00F2130E">
        <w:rPr>
          <w:rFonts w:ascii="Times New Roman" w:hAnsi="Times New Roman"/>
          <w:sz w:val="25"/>
          <w:szCs w:val="25"/>
          <w:lang w:val="uz-Cyrl-UZ"/>
        </w:rPr>
        <w:t xml:space="preserve">нинг Саноат, қурилиш </w:t>
      </w:r>
      <w:r w:rsidR="000B72CB" w:rsidRPr="008559D5">
        <w:rPr>
          <w:rFonts w:ascii="Times New Roman" w:hAnsi="Times New Roman"/>
          <w:sz w:val="25"/>
          <w:szCs w:val="25"/>
          <w:lang w:val="uz-Cyrl-UZ"/>
        </w:rPr>
        <w:t>ва савдо масалалари қўмитаси</w:t>
      </w:r>
      <w:r w:rsidR="00F2130E">
        <w:rPr>
          <w:rFonts w:ascii="Times New Roman" w:hAnsi="Times New Roman"/>
          <w:sz w:val="25"/>
          <w:szCs w:val="25"/>
          <w:lang w:val="uz-Cyrl-UZ"/>
        </w:rPr>
        <w:t>,</w:t>
      </w:r>
      <w:r w:rsidR="000B72CB" w:rsidRPr="008559D5">
        <w:rPr>
          <w:rFonts w:ascii="Times New Roman" w:hAnsi="Times New Roman"/>
          <w:sz w:val="25"/>
          <w:szCs w:val="25"/>
          <w:lang w:val="uz-Cyrl-UZ"/>
        </w:rPr>
        <w:t xml:space="preserve"> Қонунчилик палатасидаги ЎзЛиДеП фракцияси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A64EAD" w:rsidRPr="008559D5">
        <w:rPr>
          <w:rFonts w:ascii="Times New Roman" w:hAnsi="Times New Roman"/>
          <w:sz w:val="25"/>
          <w:szCs w:val="25"/>
          <w:lang w:val="uz-Cyrl-UZ"/>
        </w:rPr>
        <w:t xml:space="preserve">Ўзбекистон Республикаси </w:t>
      </w:r>
      <w:r w:rsidR="00A64EAD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Инвестициялар ва ташқи савдо вазир</w:t>
      </w:r>
      <w:r w:rsidR="008559D5" w:rsidRPr="008559D5">
        <w:rPr>
          <w:rFonts w:ascii="Times New Roman" w:hAnsi="Times New Roman"/>
          <w:color w:val="000000"/>
          <w:sz w:val="25"/>
          <w:szCs w:val="25"/>
          <w:lang w:val="uz-Cyrl-UZ"/>
        </w:rPr>
        <w:t xml:space="preserve">лиги, </w:t>
      </w:r>
      <w:r w:rsidR="00AE40A8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Иқтисодий тараққиёт ва камбағалликни қисқартириш вазир</w:t>
      </w:r>
      <w:r w:rsidR="008559D5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лиги, Ташқи ишлар вазирлиги,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Савдо саноат палатаси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Давлат божхона қўмитаси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 xml:space="preserve">, 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>Тадбиркорларни қўллаб-қувватловчи ташкилотлар ҳамда тадбиркорлик фаолияти билан шуғулланувчи тадбиркор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8559D5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ОАВ вакиллари</w:t>
      </w:r>
      <w:r w:rsidR="00FC6C28">
        <w:rPr>
          <w:rFonts w:ascii="Times New Roman" w:hAnsi="Times New Roman"/>
          <w:noProof/>
          <w:sz w:val="25"/>
          <w:szCs w:val="25"/>
          <w:lang w:val="uz-Cyrl-UZ"/>
        </w:rPr>
        <w:t>.</w:t>
      </w:r>
      <w:r w:rsidR="00F51547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</w:t>
      </w:r>
    </w:p>
    <w:p w:rsidR="00A710C2" w:rsidRPr="00E47838" w:rsidRDefault="00A710C2" w:rsidP="00BB7214">
      <w:pPr>
        <w:spacing w:line="240" w:lineRule="auto"/>
        <w:ind w:firstLine="567"/>
        <w:contextualSpacing/>
        <w:rPr>
          <w:rFonts w:ascii="Times New Roman" w:hAnsi="Times New Roman"/>
          <w:sz w:val="25"/>
          <w:szCs w:val="25"/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7229"/>
      </w:tblGrid>
      <w:tr w:rsidR="00A710C2" w:rsidRPr="00E47838" w:rsidTr="00083F65">
        <w:tc>
          <w:tcPr>
            <w:tcW w:w="1843" w:type="dxa"/>
          </w:tcPr>
          <w:p w:rsidR="00A710C2" w:rsidRPr="00D72ADA" w:rsidRDefault="00A710C2" w:rsidP="00E25D8C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14:30 – 1</w:t>
            </w:r>
            <w:r w:rsidR="00E25D8C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E25D8C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50</w:t>
            </w:r>
          </w:p>
        </w:tc>
        <w:tc>
          <w:tcPr>
            <w:tcW w:w="284" w:type="dxa"/>
          </w:tcPr>
          <w:p w:rsidR="00A710C2" w:rsidRPr="00D72ADA" w:rsidRDefault="00A710C2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A710C2" w:rsidRPr="00D72ADA" w:rsidRDefault="00A710C2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sz w:val="25"/>
                <w:szCs w:val="25"/>
                <w:lang w:val="uz-Cyrl-UZ"/>
              </w:rPr>
              <w:t>Иштирокчиларни рўйхатга олиш, видеоконференция алоқасини синовдан ўтказиш</w:t>
            </w:r>
          </w:p>
          <w:p w:rsidR="00A710C2" w:rsidRPr="00D72ADA" w:rsidRDefault="006E06DB" w:rsidP="00BB7214">
            <w:pPr>
              <w:contextualSpacing/>
              <w:jc w:val="both"/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Д.Нормура</w:t>
            </w:r>
            <w:r w:rsidR="00A710C2" w:rsidRPr="00D72ADA"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дов, А.Сарибаев</w:t>
            </w:r>
          </w:p>
        </w:tc>
      </w:tr>
      <w:tr w:rsidR="00A710C2" w:rsidRPr="00A365AE" w:rsidTr="00083F65">
        <w:tc>
          <w:tcPr>
            <w:tcW w:w="1843" w:type="dxa"/>
          </w:tcPr>
          <w:p w:rsidR="00A710C2" w:rsidRPr="00D72ADA" w:rsidRDefault="00A710C2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A710C2" w:rsidRPr="00D72ADA" w:rsidRDefault="00A710C2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A710C2" w:rsidRPr="00D72ADA" w:rsidRDefault="00A710C2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7204B" w:rsidRPr="00D72ADA" w:rsidTr="00083F65">
        <w:tc>
          <w:tcPr>
            <w:tcW w:w="1843" w:type="dxa"/>
          </w:tcPr>
          <w:p w:rsidR="0027204B" w:rsidRPr="00D72ADA" w:rsidRDefault="0027204B" w:rsidP="00B628E1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</w:t>
            </w:r>
            <w:r w:rsidR="00B628E1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B628E1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 – 15:</w:t>
            </w:r>
            <w:r w:rsidR="00B628E1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00</w:t>
            </w:r>
          </w:p>
        </w:tc>
        <w:tc>
          <w:tcPr>
            <w:tcW w:w="284" w:type="dxa"/>
          </w:tcPr>
          <w:p w:rsidR="0027204B" w:rsidRPr="00D72ADA" w:rsidRDefault="0027204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7204B" w:rsidRPr="00D72ADA" w:rsidRDefault="0027204B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Кириш сўзи</w:t>
            </w:r>
          </w:p>
          <w:p w:rsidR="0083314B" w:rsidRPr="00D72ADA" w:rsidRDefault="0083314B" w:rsidP="00BB7214">
            <w:pPr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uz-Cyrl-UZ"/>
              </w:rPr>
            </w:pPr>
          </w:p>
          <w:p w:rsidR="0027204B" w:rsidRPr="00D72ADA" w:rsidRDefault="0027204B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Ваҳобжон Абдуғаниевич Мураткабилов,</w:t>
            </w:r>
            <w:r w:rsidRPr="00D72ADA">
              <w:rPr>
                <w:rFonts w:ascii="Times New Roman" w:hAnsi="Times New Roman"/>
                <w:sz w:val="25"/>
                <w:szCs w:val="25"/>
                <w:lang w:val="uz-Cyrl-UZ"/>
              </w:rPr>
              <w:t xml:space="preserve"> </w:t>
            </w:r>
            <w:r w:rsidRPr="00D72ADA">
              <w:rPr>
                <w:rFonts w:ascii="Times New Roman" w:hAnsi="Times New Roman"/>
                <w:i/>
                <w:sz w:val="25"/>
                <w:szCs w:val="25"/>
                <w:lang w:val="uz-Cyrl-UZ"/>
              </w:rPr>
              <w:t>Олий Мажлис Қонунчилик палатаси Саноат, қурилиш ва савдо масалалари қўмитаси раиси</w:t>
            </w:r>
          </w:p>
        </w:tc>
      </w:tr>
      <w:tr w:rsidR="0027204B" w:rsidRPr="00D72ADA" w:rsidTr="00083F65">
        <w:tc>
          <w:tcPr>
            <w:tcW w:w="1843" w:type="dxa"/>
          </w:tcPr>
          <w:p w:rsidR="0027204B" w:rsidRPr="00D72ADA" w:rsidRDefault="0027204B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27204B" w:rsidRPr="00D72ADA" w:rsidRDefault="0027204B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7204B" w:rsidRPr="00D72ADA" w:rsidRDefault="0027204B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B035D" w:rsidRPr="00D72ADA" w:rsidTr="00083F65">
        <w:tc>
          <w:tcPr>
            <w:tcW w:w="1843" w:type="dxa"/>
          </w:tcPr>
          <w:p w:rsidR="002B035D" w:rsidRPr="00D72ADA" w:rsidRDefault="002B035D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</w:t>
            </w:r>
            <w:r w:rsidR="00083F65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 – 15:</w:t>
            </w:r>
            <w:r w:rsidR="00FA6636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E302BF" w:rsidRPr="00D72ADA" w:rsidRDefault="00E302BF" w:rsidP="00E302BF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15:15 – 15:25</w:t>
            </w:r>
          </w:p>
        </w:tc>
        <w:tc>
          <w:tcPr>
            <w:tcW w:w="284" w:type="dxa"/>
          </w:tcPr>
          <w:p w:rsidR="002B035D" w:rsidRPr="00D72ADA" w:rsidRDefault="002B035D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B035D" w:rsidRPr="00D72ADA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Термиз халқаро савдо маркази” эркин савдо зонасининг Афғонистон Ислом Республикаси билан ўзаро савдони янада эркинлаштириш, икки давлат тадбиркорлик субъектларининг ташқи иқтисодий фаолиятда кенг иштирок этиши учун қулай шарт-шароитлар яратиш ҳамда ўзаро савдо ҳажмларини оширишдаги ўрни ва роли тўғрисида</w:t>
            </w: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 xml:space="preserve"> </w:t>
            </w:r>
          </w:p>
          <w:p w:rsidR="00A2447C" w:rsidRPr="00D72ADA" w:rsidRDefault="00A2447C" w:rsidP="00BB7214">
            <w:pPr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uz-Cyrl-UZ"/>
              </w:rPr>
            </w:pPr>
          </w:p>
          <w:p w:rsidR="002B035D" w:rsidRPr="00D72ADA" w:rsidRDefault="00AA521E" w:rsidP="00AA521E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Дамирович Асомов</w:t>
            </w:r>
            <w:r w:rsidR="002B035D"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,</w:t>
            </w:r>
            <w:r w:rsidR="002B035D" w:rsidRPr="00D72ADA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2B035D"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Инвестициялар ва ташқи савдо вазири ўринбосари </w:t>
            </w:r>
          </w:p>
          <w:p w:rsidR="006B6F83" w:rsidRPr="00D72ADA" w:rsidRDefault="00B44DCB" w:rsidP="001655E1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Ҳомитович Орипов,</w:t>
            </w:r>
            <w:r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Сурхондарё вилоят ҳокими ўринбосари</w:t>
            </w:r>
          </w:p>
        </w:tc>
      </w:tr>
      <w:tr w:rsidR="002B035D" w:rsidRPr="00D72ADA" w:rsidTr="00083F65">
        <w:tc>
          <w:tcPr>
            <w:tcW w:w="1843" w:type="dxa"/>
          </w:tcPr>
          <w:p w:rsidR="002B035D" w:rsidRPr="00D72ADA" w:rsidRDefault="002B035D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2B035D" w:rsidRPr="00D72ADA" w:rsidRDefault="002B035D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B035D" w:rsidRPr="00D72ADA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D72ADA" w:rsidTr="00083F65">
        <w:tc>
          <w:tcPr>
            <w:tcW w:w="1843" w:type="dxa"/>
          </w:tcPr>
          <w:p w:rsidR="0078179D" w:rsidRPr="00D72ADA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78179D" w:rsidRPr="00D72ADA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78179D" w:rsidRPr="00D72ADA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15:25 – 1</w:t>
            </w:r>
            <w:r w:rsidR="00DE7B0F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DE7B0F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40</w:t>
            </w:r>
          </w:p>
          <w:p w:rsidR="00DE7B0F" w:rsidRPr="00D72ADA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DE7B0F" w:rsidRPr="00D72ADA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</w:t>
            </w:r>
            <w:r w:rsidR="00A76083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40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 xml:space="preserve"> – 1</w:t>
            </w:r>
            <w:r w:rsidR="00A76083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A76083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5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</w:p>
          <w:p w:rsidR="00DE7B0F" w:rsidRPr="00D72ADA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D72ADA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D72ADA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687565" w:rsidRPr="00D72ADA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78179D" w:rsidRPr="00D72ADA" w:rsidRDefault="0078179D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</w:p>
          <w:p w:rsidR="00DE7B0F" w:rsidRPr="00D72ADA" w:rsidRDefault="00DE7B0F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15:5</w:t>
            </w:r>
            <w:r w:rsidR="00A76083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 xml:space="preserve"> – 16:00</w:t>
            </w:r>
          </w:p>
        </w:tc>
        <w:tc>
          <w:tcPr>
            <w:tcW w:w="284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D72ADA" w:rsidRDefault="00200A9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Қўнғирот” ва “Дўстлик” эркин савдо зоналарини ташкил этиш ва фаолиятини йўлга қўйиш масалалари тўғрисида</w:t>
            </w:r>
          </w:p>
          <w:p w:rsidR="002641DA" w:rsidRPr="00D72ADA" w:rsidRDefault="002641DA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2641DA" w:rsidRPr="00D72ADA" w:rsidRDefault="002641DA" w:rsidP="002641DA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Дамирович Асомов,</w:t>
            </w:r>
            <w:r w:rsidRPr="00D72ADA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Инвестициялар ва ташқи савдо вазири ўринбосари </w:t>
            </w:r>
          </w:p>
          <w:p w:rsidR="0078179D" w:rsidRPr="00D72ADA" w:rsidRDefault="0078179D" w:rsidP="002641DA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7B243D" w:rsidRPr="00D72ADA" w:rsidRDefault="0068623C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Нуруллан Умирзакович Ерлапасов,</w:t>
            </w:r>
            <w:r w:rsidRPr="00D72ADA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7B243D"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Қорақалпоғистон Республикаси </w:t>
            </w:r>
            <w:r w:rsidR="00A56FE8"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Вазирлар Кенгаши </w:t>
            </w:r>
            <w:r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Раисининг молия-иқтисодиёт ва камбағалликни қисқартириш масалалари бўйича биринчи ўринбосари – иқтисодий тараққиёт ва камбағалликни қисқартириш вазири</w:t>
            </w:r>
            <w:r w:rsidR="00A56FE8"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</w:p>
          <w:p w:rsidR="0078179D" w:rsidRPr="00D72ADA" w:rsidRDefault="0078179D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5070FB" w:rsidRPr="00D72ADA" w:rsidRDefault="003E1C40" w:rsidP="00390F63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Ботиржон Баҳрамжонович Ҳамраев,</w:t>
            </w:r>
            <w:r w:rsidRPr="00D72ADA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Андижон вилоят ҳокими</w:t>
            </w:r>
            <w:r w:rsidR="00390F63"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D72ADA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ўринбосари</w:t>
            </w:r>
            <w:bookmarkStart w:id="0" w:name="_GoBack"/>
            <w:bookmarkEnd w:id="0"/>
          </w:p>
        </w:tc>
      </w:tr>
      <w:tr w:rsidR="008D5A43" w:rsidRPr="00D72ADA" w:rsidTr="00083F65">
        <w:tc>
          <w:tcPr>
            <w:tcW w:w="1843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D72ADA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E47838" w:rsidTr="00083F65">
        <w:tc>
          <w:tcPr>
            <w:tcW w:w="1843" w:type="dxa"/>
          </w:tcPr>
          <w:p w:rsidR="008D5A43" w:rsidRPr="00D72ADA" w:rsidRDefault="00B84B91" w:rsidP="002335A2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</w:t>
            </w:r>
            <w:r w:rsidR="002335A2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6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:</w:t>
            </w:r>
            <w:r w:rsidR="002335A2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 – 16:</w:t>
            </w:r>
            <w:r w:rsidR="002335A2"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3</w:t>
            </w: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0</w:t>
            </w:r>
          </w:p>
        </w:tc>
        <w:tc>
          <w:tcPr>
            <w:tcW w:w="284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D72ADA" w:rsidRDefault="00D67AE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Мунозара ва савол-жавоблар</w:t>
            </w:r>
          </w:p>
        </w:tc>
      </w:tr>
      <w:tr w:rsidR="008D5A43" w:rsidRPr="00A365AE" w:rsidTr="00083F65">
        <w:tc>
          <w:tcPr>
            <w:tcW w:w="1843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</w:tc>
        <w:tc>
          <w:tcPr>
            <w:tcW w:w="284" w:type="dxa"/>
          </w:tcPr>
          <w:p w:rsidR="008D5A43" w:rsidRPr="00D72ADA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D72ADA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03781B" w:rsidRPr="00E47838" w:rsidTr="00083F65">
        <w:tc>
          <w:tcPr>
            <w:tcW w:w="1843" w:type="dxa"/>
          </w:tcPr>
          <w:p w:rsidR="0003781B" w:rsidRPr="00D72ADA" w:rsidRDefault="00E867AA" w:rsidP="00E867AA">
            <w:pPr>
              <w:contextualSpacing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16:30 – 16:40</w:t>
            </w:r>
          </w:p>
        </w:tc>
        <w:tc>
          <w:tcPr>
            <w:tcW w:w="284" w:type="dxa"/>
          </w:tcPr>
          <w:p w:rsidR="0003781B" w:rsidRPr="00D72ADA" w:rsidRDefault="0003781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03781B" w:rsidRPr="00D72ADA" w:rsidRDefault="00CC5AFF" w:rsidP="00CC5AFF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D72ADA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Хулоса ва тавсиялар, йиғилишни якунлаш</w:t>
            </w:r>
          </w:p>
        </w:tc>
      </w:tr>
    </w:tbl>
    <w:p w:rsidR="00675D3F" w:rsidRPr="00AA521E" w:rsidRDefault="00675D3F" w:rsidP="00675D3F">
      <w:pPr>
        <w:spacing w:line="240" w:lineRule="auto"/>
        <w:contextualSpacing/>
        <w:rPr>
          <w:rFonts w:ascii="Times New Roman" w:hAnsi="Times New Roman"/>
          <w:sz w:val="25"/>
          <w:szCs w:val="25"/>
        </w:rPr>
      </w:pPr>
    </w:p>
    <w:p w:rsidR="00675D3F" w:rsidRPr="00AA521E" w:rsidRDefault="00675D3F" w:rsidP="004907A7">
      <w:pPr>
        <w:jc w:val="center"/>
        <w:rPr>
          <w:rFonts w:ascii="Times New Roman" w:hAnsi="Times New Roman"/>
          <w:sz w:val="25"/>
          <w:szCs w:val="25"/>
        </w:rPr>
      </w:pPr>
      <w:r w:rsidRPr="00AA521E">
        <w:rPr>
          <w:rFonts w:ascii="Times New Roman" w:hAnsi="Times New Roman"/>
          <w:sz w:val="25"/>
          <w:szCs w:val="25"/>
        </w:rPr>
        <w:br w:type="page"/>
      </w:r>
    </w:p>
    <w:sectPr w:rsidR="00675D3F" w:rsidRPr="00AA521E" w:rsidSect="00675D3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1"/>
    <w:rsid w:val="0003781B"/>
    <w:rsid w:val="00043C37"/>
    <w:rsid w:val="00083F65"/>
    <w:rsid w:val="00086623"/>
    <w:rsid w:val="000B275B"/>
    <w:rsid w:val="000B72CB"/>
    <w:rsid w:val="00117B0F"/>
    <w:rsid w:val="0013701D"/>
    <w:rsid w:val="0014432A"/>
    <w:rsid w:val="001655E1"/>
    <w:rsid w:val="00174E66"/>
    <w:rsid w:val="001B1E38"/>
    <w:rsid w:val="001E29E7"/>
    <w:rsid w:val="00200A92"/>
    <w:rsid w:val="00214928"/>
    <w:rsid w:val="002333E3"/>
    <w:rsid w:val="002335A2"/>
    <w:rsid w:val="00244719"/>
    <w:rsid w:val="002641DA"/>
    <w:rsid w:val="0027204B"/>
    <w:rsid w:val="00294BF4"/>
    <w:rsid w:val="002B035D"/>
    <w:rsid w:val="002C6F3F"/>
    <w:rsid w:val="0035723C"/>
    <w:rsid w:val="003774FF"/>
    <w:rsid w:val="00390F63"/>
    <w:rsid w:val="0039750E"/>
    <w:rsid w:val="003A3ECB"/>
    <w:rsid w:val="003C438C"/>
    <w:rsid w:val="003D3326"/>
    <w:rsid w:val="003E1C40"/>
    <w:rsid w:val="004871DB"/>
    <w:rsid w:val="004907A7"/>
    <w:rsid w:val="004B4BD1"/>
    <w:rsid w:val="005070FB"/>
    <w:rsid w:val="00544A02"/>
    <w:rsid w:val="00557329"/>
    <w:rsid w:val="00562512"/>
    <w:rsid w:val="0056726F"/>
    <w:rsid w:val="00592E78"/>
    <w:rsid w:val="005A135F"/>
    <w:rsid w:val="005C020F"/>
    <w:rsid w:val="005D7071"/>
    <w:rsid w:val="00634E7C"/>
    <w:rsid w:val="00635D46"/>
    <w:rsid w:val="00661229"/>
    <w:rsid w:val="00675D3F"/>
    <w:rsid w:val="006772C2"/>
    <w:rsid w:val="0068623C"/>
    <w:rsid w:val="00687565"/>
    <w:rsid w:val="006B6F83"/>
    <w:rsid w:val="006C3F26"/>
    <w:rsid w:val="006D6C21"/>
    <w:rsid w:val="006E06DB"/>
    <w:rsid w:val="006E6F14"/>
    <w:rsid w:val="00706485"/>
    <w:rsid w:val="00773548"/>
    <w:rsid w:val="0078179D"/>
    <w:rsid w:val="007B243D"/>
    <w:rsid w:val="007D1ACE"/>
    <w:rsid w:val="00811078"/>
    <w:rsid w:val="0083314B"/>
    <w:rsid w:val="008559D5"/>
    <w:rsid w:val="00860B12"/>
    <w:rsid w:val="00894376"/>
    <w:rsid w:val="008D3D52"/>
    <w:rsid w:val="008D5A43"/>
    <w:rsid w:val="00972B8B"/>
    <w:rsid w:val="009B478B"/>
    <w:rsid w:val="009D0640"/>
    <w:rsid w:val="00A2447C"/>
    <w:rsid w:val="00A365AE"/>
    <w:rsid w:val="00A56FE8"/>
    <w:rsid w:val="00A64EAD"/>
    <w:rsid w:val="00A710C2"/>
    <w:rsid w:val="00A76083"/>
    <w:rsid w:val="00AA521E"/>
    <w:rsid w:val="00AB011B"/>
    <w:rsid w:val="00AE40A8"/>
    <w:rsid w:val="00B27DFB"/>
    <w:rsid w:val="00B32042"/>
    <w:rsid w:val="00B44DCB"/>
    <w:rsid w:val="00B475D1"/>
    <w:rsid w:val="00B628E1"/>
    <w:rsid w:val="00B63412"/>
    <w:rsid w:val="00B6628D"/>
    <w:rsid w:val="00B84B91"/>
    <w:rsid w:val="00B913E3"/>
    <w:rsid w:val="00BA328B"/>
    <w:rsid w:val="00BB7214"/>
    <w:rsid w:val="00BD1049"/>
    <w:rsid w:val="00BD681D"/>
    <w:rsid w:val="00C25415"/>
    <w:rsid w:val="00C83F82"/>
    <w:rsid w:val="00C86337"/>
    <w:rsid w:val="00CC5AFF"/>
    <w:rsid w:val="00D67AE2"/>
    <w:rsid w:val="00D72ADA"/>
    <w:rsid w:val="00D77F5A"/>
    <w:rsid w:val="00DE7B0F"/>
    <w:rsid w:val="00DF0F8F"/>
    <w:rsid w:val="00E16C6C"/>
    <w:rsid w:val="00E25D8C"/>
    <w:rsid w:val="00E302BF"/>
    <w:rsid w:val="00E417BC"/>
    <w:rsid w:val="00E47838"/>
    <w:rsid w:val="00E5257D"/>
    <w:rsid w:val="00E867AA"/>
    <w:rsid w:val="00EA21CA"/>
    <w:rsid w:val="00F2130E"/>
    <w:rsid w:val="00F236B4"/>
    <w:rsid w:val="00F30B69"/>
    <w:rsid w:val="00F4536F"/>
    <w:rsid w:val="00F51547"/>
    <w:rsid w:val="00FA6636"/>
    <w:rsid w:val="00FC6C28"/>
    <w:rsid w:val="00FE132C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4C08B-EB89-4C28-9BFF-3F7AE530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37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706485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706485"/>
  </w:style>
  <w:style w:type="table" w:styleId="a3">
    <w:name w:val="Table Grid"/>
    <w:basedOn w:val="a1"/>
    <w:uiPriority w:val="59"/>
    <w:unhideWhenUsed/>
    <w:rsid w:val="00B9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7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Mardayev</dc:creator>
  <cp:keywords/>
  <dc:description/>
  <cp:lastModifiedBy>user</cp:lastModifiedBy>
  <cp:revision>157</cp:revision>
  <cp:lastPrinted>2020-11-25T07:39:00Z</cp:lastPrinted>
  <dcterms:created xsi:type="dcterms:W3CDTF">2020-11-20T06:14:00Z</dcterms:created>
  <dcterms:modified xsi:type="dcterms:W3CDTF">2021-02-13T09:31:00Z</dcterms:modified>
</cp:coreProperties>
</file>