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C461A" w:rsidRDefault="00CC461A" w:rsidP="00CC461A">
      <w:pPr>
        <w:spacing w:after="0" w:line="240" w:lineRule="auto"/>
        <w:jc w:val="center"/>
        <w:rPr>
          <w:rFonts w:eastAsia="Times New Roman"/>
          <w:b/>
          <w:sz w:val="24"/>
          <w:szCs w:val="24"/>
          <w:lang w:val="uz-Cyrl-UZ" w:eastAsia="ru-RU"/>
        </w:rPr>
      </w:pPr>
    </w:p>
    <w:p w:rsidR="00CC461A" w:rsidRPr="007224BE" w:rsidRDefault="00CC461A" w:rsidP="00CC461A">
      <w:pPr>
        <w:spacing w:after="0" w:line="240" w:lineRule="auto"/>
        <w:jc w:val="center"/>
        <w:rPr>
          <w:rFonts w:eastAsia="Times New Roman"/>
          <w:b/>
          <w:sz w:val="24"/>
          <w:szCs w:val="24"/>
          <w:lang w:val="uz-Cyrl-UZ" w:eastAsia="ru-RU"/>
        </w:rPr>
      </w:pPr>
      <w:r w:rsidRPr="007224BE">
        <w:rPr>
          <w:rFonts w:eastAsia="Times New Roman"/>
          <w:b/>
          <w:sz w:val="24"/>
          <w:szCs w:val="24"/>
          <w:lang w:val="uz-Cyrl-UZ" w:eastAsia="ru-RU"/>
        </w:rPr>
        <w:t>Ўзбекистон Республикаси Олий Мажлиси Қонунчилик палатасига Вазирлар Маҳкамаси томонидан киритилган “2021 йил учун солиқ сиёсатининг асосий йўналишлари қабул қилиниши муносабати билан Ўзбекистон Республикасининг айрим қонун ҳужжатларига ўзгартиш ва қўшимчалар киритиш тўғрисида”ги Қонун (ҚЛ-724)лойиҳасининг 1-ўқиш ялпи мажлисида бериладиган</w:t>
      </w:r>
    </w:p>
    <w:p w:rsidR="00CC461A" w:rsidRPr="007224BE" w:rsidRDefault="00CC461A" w:rsidP="00CC461A">
      <w:pPr>
        <w:spacing w:before="120" w:after="0" w:line="204" w:lineRule="auto"/>
        <w:ind w:right="-534"/>
        <w:jc w:val="center"/>
        <w:rPr>
          <w:b/>
          <w:sz w:val="16"/>
          <w:szCs w:val="16"/>
          <w:lang w:val="uz-Cyrl-UZ"/>
        </w:rPr>
      </w:pPr>
      <w:r w:rsidRPr="007224BE">
        <w:rPr>
          <w:b/>
          <w:lang w:val="uz-Cyrl-UZ"/>
        </w:rPr>
        <w:t>САВОЛЛАР.</w:t>
      </w:r>
    </w:p>
    <w:p w:rsidR="00CC461A" w:rsidRPr="007224BE" w:rsidRDefault="00CC461A" w:rsidP="00CC461A">
      <w:pPr>
        <w:spacing w:before="120" w:after="0" w:line="204" w:lineRule="auto"/>
        <w:ind w:right="-534"/>
        <w:jc w:val="center"/>
        <w:rPr>
          <w:b/>
          <w:sz w:val="16"/>
          <w:szCs w:val="16"/>
          <w:lang w:val="uz-Cyrl-UZ"/>
        </w:rPr>
      </w:pPr>
    </w:p>
    <w:p w:rsidR="00CC461A" w:rsidRPr="007224BE" w:rsidRDefault="00CC461A" w:rsidP="00CC461A">
      <w:pPr>
        <w:spacing w:before="120" w:after="0" w:line="204" w:lineRule="auto"/>
        <w:ind w:right="-534"/>
        <w:jc w:val="center"/>
        <w:rPr>
          <w:b/>
          <w:sz w:val="16"/>
          <w:szCs w:val="16"/>
          <w:lang w:val="uz-Cyrl-UZ"/>
        </w:rP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
        <w:gridCol w:w="1888"/>
        <w:gridCol w:w="3080"/>
        <w:gridCol w:w="9212"/>
      </w:tblGrid>
      <w:tr w:rsidR="00CC461A" w:rsidRPr="007224BE" w:rsidTr="001311AD">
        <w:trPr>
          <w:tblHeader/>
        </w:trPr>
        <w:tc>
          <w:tcPr>
            <w:tcW w:w="514" w:type="dxa"/>
            <w:shd w:val="clear" w:color="auto" w:fill="auto"/>
            <w:vAlign w:val="center"/>
          </w:tcPr>
          <w:p w:rsidR="00CC461A" w:rsidRPr="007224BE" w:rsidRDefault="00CC461A" w:rsidP="001311AD">
            <w:pPr>
              <w:spacing w:after="0" w:line="240" w:lineRule="auto"/>
              <w:jc w:val="center"/>
              <w:rPr>
                <w:b/>
                <w:lang w:val="uz-Cyrl-UZ"/>
              </w:rPr>
            </w:pPr>
            <w:r w:rsidRPr="007224BE">
              <w:rPr>
                <w:b/>
                <w:lang w:val="uz-Cyrl-UZ"/>
              </w:rPr>
              <w:t>№</w:t>
            </w:r>
          </w:p>
        </w:tc>
        <w:tc>
          <w:tcPr>
            <w:tcW w:w="1772" w:type="dxa"/>
            <w:shd w:val="clear" w:color="auto" w:fill="auto"/>
            <w:vAlign w:val="center"/>
          </w:tcPr>
          <w:p w:rsidR="00CC461A" w:rsidRPr="007224BE" w:rsidRDefault="00CC461A" w:rsidP="001311AD">
            <w:pPr>
              <w:spacing w:after="0" w:line="240" w:lineRule="auto"/>
              <w:jc w:val="center"/>
              <w:rPr>
                <w:b/>
                <w:lang w:val="uz-Cyrl-UZ"/>
              </w:rPr>
            </w:pPr>
            <w:r w:rsidRPr="007224BE">
              <w:rPr>
                <w:b/>
                <w:lang w:val="uz-Cyrl-UZ"/>
              </w:rPr>
              <w:t>Фракция (депутатлик гуруҳи)</w:t>
            </w:r>
          </w:p>
        </w:tc>
        <w:tc>
          <w:tcPr>
            <w:tcW w:w="3099" w:type="dxa"/>
          </w:tcPr>
          <w:p w:rsidR="00CC461A" w:rsidRPr="007224BE" w:rsidRDefault="00CC461A" w:rsidP="001311AD">
            <w:pPr>
              <w:spacing w:after="0" w:line="240" w:lineRule="auto"/>
              <w:jc w:val="center"/>
              <w:rPr>
                <w:b/>
                <w:lang w:val="uz-Cyrl-UZ"/>
              </w:rPr>
            </w:pPr>
            <w:r w:rsidRPr="007224BE">
              <w:rPr>
                <w:b/>
                <w:lang w:val="uz-Cyrl-UZ"/>
              </w:rPr>
              <w:t>Вазирлик ва идора номи</w:t>
            </w:r>
          </w:p>
        </w:tc>
        <w:tc>
          <w:tcPr>
            <w:tcW w:w="9324" w:type="dxa"/>
            <w:shd w:val="clear" w:color="auto" w:fill="auto"/>
            <w:vAlign w:val="center"/>
          </w:tcPr>
          <w:p w:rsidR="00CC461A" w:rsidRPr="007224BE" w:rsidRDefault="00CC461A" w:rsidP="001311AD">
            <w:pPr>
              <w:spacing w:after="0" w:line="240" w:lineRule="auto"/>
              <w:jc w:val="center"/>
              <w:rPr>
                <w:b/>
                <w:lang w:val="uz-Cyrl-UZ"/>
              </w:rPr>
            </w:pPr>
            <w:r w:rsidRPr="007224BE">
              <w:rPr>
                <w:b/>
                <w:lang w:val="uz-Cyrl-UZ"/>
              </w:rPr>
              <w:t>Саволлар матни</w:t>
            </w:r>
          </w:p>
        </w:tc>
      </w:tr>
      <w:tr w:rsidR="00CC461A" w:rsidRPr="007224BE" w:rsidTr="001311AD">
        <w:trPr>
          <w:trHeight w:val="858"/>
        </w:trPr>
        <w:tc>
          <w:tcPr>
            <w:tcW w:w="514" w:type="dxa"/>
            <w:shd w:val="clear" w:color="auto" w:fill="auto"/>
            <w:vAlign w:val="center"/>
          </w:tcPr>
          <w:p w:rsidR="00CC461A" w:rsidRPr="007224BE" w:rsidRDefault="00CC461A" w:rsidP="001311AD">
            <w:pPr>
              <w:spacing w:after="0" w:line="240" w:lineRule="auto"/>
              <w:jc w:val="center"/>
              <w:rPr>
                <w:b/>
                <w:lang w:val="uz-Cyrl-UZ"/>
              </w:rPr>
            </w:pPr>
            <w:r w:rsidRPr="007224BE">
              <w:rPr>
                <w:b/>
                <w:lang w:val="uz-Cyrl-UZ"/>
              </w:rPr>
              <w:t>3</w:t>
            </w:r>
          </w:p>
        </w:tc>
        <w:tc>
          <w:tcPr>
            <w:tcW w:w="1772" w:type="dxa"/>
            <w:shd w:val="clear" w:color="auto" w:fill="auto"/>
            <w:vAlign w:val="center"/>
          </w:tcPr>
          <w:p w:rsidR="00CC461A" w:rsidRDefault="00CC461A" w:rsidP="001311AD">
            <w:pPr>
              <w:spacing w:after="0" w:line="240" w:lineRule="auto"/>
              <w:jc w:val="center"/>
              <w:rPr>
                <w:b/>
                <w:lang w:val="uz-Cyrl-UZ"/>
              </w:rPr>
            </w:pPr>
            <w:r w:rsidRPr="007224BE">
              <w:rPr>
                <w:b/>
                <w:lang w:val="uz-Cyrl-UZ"/>
              </w:rPr>
              <w:t>Миллий тикланиш</w:t>
            </w:r>
          </w:p>
          <w:p w:rsidR="00CC461A" w:rsidRPr="00CC461A" w:rsidRDefault="00CC461A" w:rsidP="001311AD">
            <w:pPr>
              <w:spacing w:after="0" w:line="240" w:lineRule="auto"/>
              <w:jc w:val="center"/>
              <w:rPr>
                <w:b/>
                <w:sz w:val="18"/>
                <w:lang w:val="uz-Cyrl-UZ"/>
              </w:rPr>
            </w:pPr>
          </w:p>
          <w:p w:rsidR="00CC461A" w:rsidRPr="007224BE" w:rsidRDefault="00CC461A" w:rsidP="001311AD">
            <w:pPr>
              <w:spacing w:after="0" w:line="240" w:lineRule="auto"/>
              <w:jc w:val="center"/>
              <w:rPr>
                <w:b/>
                <w:lang w:val="uz-Cyrl-UZ"/>
              </w:rPr>
            </w:pPr>
            <w:r>
              <w:rPr>
                <w:b/>
                <w:lang w:val="uz-Cyrl-UZ"/>
              </w:rPr>
              <w:t>А.Тўлабоев</w:t>
            </w:r>
          </w:p>
        </w:tc>
        <w:tc>
          <w:tcPr>
            <w:tcW w:w="3099" w:type="dxa"/>
            <w:vAlign w:val="center"/>
          </w:tcPr>
          <w:p w:rsidR="00CC461A" w:rsidRPr="007224BE" w:rsidRDefault="00CC461A" w:rsidP="001311AD">
            <w:pPr>
              <w:spacing w:after="0" w:line="240" w:lineRule="auto"/>
              <w:jc w:val="center"/>
              <w:rPr>
                <w:b/>
                <w:lang w:val="uz-Cyrl-UZ"/>
              </w:rPr>
            </w:pPr>
          </w:p>
          <w:p w:rsidR="00CC461A" w:rsidRPr="007224BE" w:rsidRDefault="00CC461A" w:rsidP="001311AD">
            <w:pPr>
              <w:spacing w:after="0" w:line="240" w:lineRule="auto"/>
              <w:jc w:val="center"/>
              <w:rPr>
                <w:b/>
                <w:lang w:val="uz-Cyrl-UZ"/>
              </w:rPr>
            </w:pPr>
          </w:p>
          <w:p w:rsidR="00CC461A" w:rsidRPr="007224BE" w:rsidRDefault="00CC461A" w:rsidP="001311AD">
            <w:pPr>
              <w:spacing w:after="0" w:line="240" w:lineRule="auto"/>
              <w:jc w:val="center"/>
              <w:rPr>
                <w:b/>
                <w:lang w:val="uz-Cyrl-UZ"/>
              </w:rPr>
            </w:pPr>
            <w:r w:rsidRPr="007224BE">
              <w:rPr>
                <w:b/>
                <w:lang w:val="uz-Cyrl-UZ"/>
              </w:rPr>
              <w:t xml:space="preserve">Молия </w:t>
            </w:r>
          </w:p>
          <w:p w:rsidR="00CC461A" w:rsidRPr="007224BE" w:rsidRDefault="00CC461A" w:rsidP="001311AD">
            <w:pPr>
              <w:spacing w:after="0" w:line="240" w:lineRule="auto"/>
              <w:jc w:val="center"/>
              <w:rPr>
                <w:b/>
                <w:lang w:val="uz-Cyrl-UZ"/>
              </w:rPr>
            </w:pPr>
            <w:r w:rsidRPr="007224BE">
              <w:rPr>
                <w:b/>
                <w:lang w:val="uz-Cyrl-UZ"/>
              </w:rPr>
              <w:t>вазирлигига</w:t>
            </w:r>
          </w:p>
          <w:p w:rsidR="00CC461A" w:rsidRPr="007224BE" w:rsidRDefault="00CC461A" w:rsidP="001311AD">
            <w:pPr>
              <w:spacing w:after="0" w:line="240" w:lineRule="auto"/>
              <w:ind w:firstLine="358"/>
              <w:jc w:val="center"/>
              <w:rPr>
                <w:b/>
                <w:lang w:val="uz-Cyrl-UZ"/>
              </w:rPr>
            </w:pPr>
          </w:p>
          <w:p w:rsidR="00CC461A" w:rsidRPr="007224BE" w:rsidRDefault="00CC461A" w:rsidP="001311AD">
            <w:pPr>
              <w:spacing w:after="0" w:line="240" w:lineRule="auto"/>
              <w:ind w:firstLine="358"/>
              <w:jc w:val="center"/>
              <w:rPr>
                <w:b/>
                <w:lang w:val="uz-Cyrl-UZ"/>
              </w:rPr>
            </w:pPr>
          </w:p>
          <w:p w:rsidR="00CC461A" w:rsidRPr="007224BE" w:rsidRDefault="00CC461A" w:rsidP="001311AD">
            <w:pPr>
              <w:spacing w:after="0" w:line="240" w:lineRule="auto"/>
              <w:jc w:val="center"/>
              <w:rPr>
                <w:b/>
                <w:lang w:val="uz-Cyrl-UZ"/>
              </w:rPr>
            </w:pPr>
          </w:p>
        </w:tc>
        <w:tc>
          <w:tcPr>
            <w:tcW w:w="9324" w:type="dxa"/>
            <w:shd w:val="clear" w:color="auto" w:fill="auto"/>
            <w:vAlign w:val="center"/>
          </w:tcPr>
          <w:p w:rsidR="00CC461A" w:rsidRPr="007224BE" w:rsidRDefault="00CC461A" w:rsidP="001311AD">
            <w:pPr>
              <w:autoSpaceDE w:val="0"/>
              <w:autoSpaceDN w:val="0"/>
              <w:adjustRightInd w:val="0"/>
              <w:spacing w:after="0"/>
              <w:ind w:firstLine="313"/>
              <w:jc w:val="both"/>
              <w:rPr>
                <w:rFonts w:eastAsia="Times New Roman"/>
                <w:bCs/>
                <w:lang w:val="uz-Cyrl-UZ" w:eastAsia="ru-RU"/>
              </w:rPr>
            </w:pPr>
            <w:r w:rsidRPr="007224BE">
              <w:rPr>
                <w:rFonts w:eastAsia="Times New Roman"/>
                <w:b/>
                <w:bCs/>
                <w:lang w:val="uz-Cyrl-UZ" w:eastAsia="ru-RU"/>
              </w:rPr>
              <w:t xml:space="preserve">3. </w:t>
            </w:r>
            <w:r w:rsidRPr="007224BE">
              <w:rPr>
                <w:rFonts w:eastAsia="Times New Roman"/>
                <w:bCs/>
                <w:lang w:val="uz-Cyrl-UZ" w:eastAsia="ru-RU"/>
              </w:rPr>
              <w:t>Бугунги иқтисодий инқирозлар ва пандемия шароитида шунингдек, купгина мамлакатларда истемол товарларига солиқларни оширмаслик сиёсати кетаётган бир даврда бизда айрим истеъмол товарларига босқичма босқич акциз солиқлари янада оширилмоқда. Жумладан нефт маҳсулотлари, тамаки ва алкогол ичимликларига. Сабабларини тушунтирсангиз?</w:t>
            </w:r>
          </w:p>
          <w:p w:rsidR="00CC461A" w:rsidRPr="007224BE" w:rsidRDefault="00CC461A" w:rsidP="001311AD">
            <w:pPr>
              <w:spacing w:line="240" w:lineRule="auto"/>
              <w:ind w:firstLine="852"/>
              <w:jc w:val="both"/>
              <w:rPr>
                <w:rFonts w:eastAsiaTheme="minorHAnsi" w:cstheme="minorBidi"/>
                <w:bCs/>
                <w:szCs w:val="22"/>
                <w:lang w:val="uz-Cyrl-UZ"/>
              </w:rPr>
            </w:pPr>
          </w:p>
        </w:tc>
      </w:tr>
    </w:tbl>
    <w:p w:rsidR="00CC461A" w:rsidRPr="007224BE" w:rsidRDefault="00CC461A" w:rsidP="00CC461A">
      <w:pPr>
        <w:rPr>
          <w:lang w:val="uz-Cyrl-UZ"/>
        </w:rPr>
      </w:pPr>
    </w:p>
    <w:p w:rsidR="00CC461A" w:rsidRPr="00783CA4" w:rsidRDefault="00CC461A" w:rsidP="00CC461A">
      <w:pPr>
        <w:rPr>
          <w:lang w:val="uz-Cyrl-UZ"/>
        </w:rPr>
      </w:pPr>
    </w:p>
    <w:p w:rsidR="00B475D1" w:rsidRDefault="00B475D1"/>
    <w:sectPr w:rsidR="00B475D1" w:rsidSect="00CC461A">
      <w:pgSz w:w="16838" w:h="11906" w:orient="landscape"/>
      <w:pgMar w:top="1135" w:right="1134" w:bottom="850"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CC"/>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2"/>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600E"/>
    <w:rsid w:val="0079491B"/>
    <w:rsid w:val="00B475D1"/>
    <w:rsid w:val="00CC461A"/>
    <w:rsid w:val="00E860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46D68-348A-4B76-90B4-6F3C62FBE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461A"/>
    <w:rPr>
      <w:rFonts w:eastAsia="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Kotib MTDPF</dc:creator>
  <cp:keywords/>
  <dc:description/>
  <cp:lastModifiedBy>mtdpfb@outlook.com</cp:lastModifiedBy>
  <cp:revision>3</cp:revision>
  <dcterms:created xsi:type="dcterms:W3CDTF">2020-11-30T15:24:00Z</dcterms:created>
  <dcterms:modified xsi:type="dcterms:W3CDTF">2020-11-30T16:02:00Z</dcterms:modified>
</cp:coreProperties>
</file>