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74" w:rsidRDefault="000A6974" w:rsidP="000A6974">
      <w:pPr>
        <w:spacing w:after="0" w:line="240" w:lineRule="auto"/>
        <w:ind w:left="-142" w:right="-456"/>
        <w:jc w:val="center"/>
        <w:rPr>
          <w:rFonts w:ascii="Cambria" w:hAnsi="Cambria"/>
          <w:b/>
          <w:lang w:val="uz-Cyrl-UZ"/>
        </w:rPr>
      </w:pPr>
      <w:r w:rsidRPr="002D6679">
        <w:rPr>
          <w:rFonts w:ascii="Cambria" w:hAnsi="Cambria"/>
          <w:b/>
          <w:lang w:val="uz-Cyrl-UZ"/>
        </w:rPr>
        <w:t xml:space="preserve">Таълим соҳасини янада яхшилаш ва ривожлантириш борасида ҳудудларда </w:t>
      </w:r>
    </w:p>
    <w:p w:rsidR="000A6974" w:rsidRPr="002D6679" w:rsidRDefault="000A6974" w:rsidP="000A6974">
      <w:pPr>
        <w:spacing w:after="0" w:line="240" w:lineRule="auto"/>
        <w:ind w:left="-142" w:right="-456"/>
        <w:jc w:val="center"/>
        <w:rPr>
          <w:rFonts w:ascii="Cambria" w:hAnsi="Cambria"/>
          <w:b/>
          <w:lang w:val="uz-Cyrl-UZ"/>
        </w:rPr>
      </w:pPr>
      <w:r w:rsidRPr="002D6679">
        <w:rPr>
          <w:rFonts w:ascii="Cambria" w:hAnsi="Cambria"/>
          <w:b/>
          <w:lang w:val="uz-Cyrl-UZ"/>
        </w:rPr>
        <w:t>олиб борилаётган ислоҳатларнинг бугунги ҳолати юзасидан</w:t>
      </w:r>
    </w:p>
    <w:p w:rsidR="000A6974" w:rsidRPr="002D6679" w:rsidRDefault="000A6974" w:rsidP="000A6974">
      <w:pPr>
        <w:spacing w:after="0" w:line="240" w:lineRule="auto"/>
        <w:jc w:val="center"/>
        <w:rPr>
          <w:rFonts w:ascii="Cambria" w:hAnsi="Cambria"/>
          <w:b/>
          <w:lang w:val="uz-Cyrl-UZ"/>
        </w:rPr>
      </w:pPr>
      <w:r w:rsidRPr="002D6679">
        <w:rPr>
          <w:rFonts w:ascii="Cambria" w:hAnsi="Cambria"/>
          <w:b/>
          <w:lang w:val="uz-Cyrl-UZ"/>
        </w:rPr>
        <w:t>САВОЛНОМА</w:t>
      </w:r>
    </w:p>
    <w:p w:rsidR="000A6974" w:rsidRPr="002D6679" w:rsidRDefault="000A6974" w:rsidP="000A6974">
      <w:pPr>
        <w:spacing w:after="0" w:line="240" w:lineRule="auto"/>
        <w:jc w:val="center"/>
        <w:rPr>
          <w:rFonts w:ascii="Cambria" w:hAnsi="Cambria"/>
          <w:b/>
          <w:lang w:val="uz-Cyrl-UZ"/>
        </w:rPr>
      </w:pP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246"/>
        <w:gridCol w:w="5386"/>
        <w:gridCol w:w="4961"/>
      </w:tblGrid>
      <w:tr w:rsidR="000A6974" w:rsidRPr="00AD1366" w:rsidTr="003342E4">
        <w:tc>
          <w:tcPr>
            <w:tcW w:w="425" w:type="dxa"/>
            <w:shd w:val="clear" w:color="auto" w:fill="BFBFBF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  <w:r w:rsidRPr="00AD1366">
              <w:rPr>
                <w:rFonts w:ascii="Cambria" w:hAnsi="Cambria"/>
                <w:b/>
                <w:lang w:val="uz-Cyrl-UZ"/>
              </w:rPr>
              <w:t>№</w:t>
            </w:r>
          </w:p>
        </w:tc>
        <w:tc>
          <w:tcPr>
            <w:tcW w:w="5246" w:type="dxa"/>
            <w:shd w:val="clear" w:color="auto" w:fill="BFBFBF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  <w:r w:rsidRPr="00AD1366">
              <w:rPr>
                <w:rFonts w:ascii="Cambria" w:hAnsi="Cambria"/>
                <w:b/>
                <w:lang w:val="uz-Cyrl-UZ"/>
              </w:rPr>
              <w:t>Ўрганиладиган масалалар</w:t>
            </w:r>
          </w:p>
        </w:tc>
        <w:tc>
          <w:tcPr>
            <w:tcW w:w="5386" w:type="dxa"/>
            <w:shd w:val="clear" w:color="auto" w:fill="BFBFBF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  <w:r w:rsidRPr="00AD1366">
              <w:rPr>
                <w:rFonts w:ascii="Cambria" w:hAnsi="Cambria"/>
                <w:b/>
                <w:lang w:val="uz-Cyrl-UZ"/>
              </w:rPr>
              <w:t>Ижро ҳолати</w:t>
            </w:r>
          </w:p>
        </w:tc>
        <w:tc>
          <w:tcPr>
            <w:tcW w:w="4961" w:type="dxa"/>
            <w:shd w:val="clear" w:color="auto" w:fill="BFBFBF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  <w:r w:rsidRPr="00AD1366">
              <w:rPr>
                <w:rFonts w:ascii="Cambria" w:hAnsi="Cambria"/>
                <w:b/>
                <w:lang w:val="uz-Cyrl-UZ"/>
              </w:rPr>
              <w:t xml:space="preserve">Изоҳ </w:t>
            </w:r>
          </w:p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i/>
                <w:lang w:val="uz-Cyrl-UZ"/>
              </w:rPr>
            </w:pPr>
            <w:r w:rsidRPr="00AD1366">
              <w:rPr>
                <w:rFonts w:ascii="Cambria" w:hAnsi="Cambria"/>
                <w:b/>
                <w:i/>
                <w:lang w:val="uz-Cyrl-UZ"/>
              </w:rPr>
              <w:t>(муаммоларни ҳал этиш механизми)</w:t>
            </w:r>
          </w:p>
        </w:tc>
      </w:tr>
      <w:tr w:rsidR="000A6974" w:rsidRPr="00AD1366" w:rsidTr="003342E4">
        <w:tc>
          <w:tcPr>
            <w:tcW w:w="16018" w:type="dxa"/>
            <w:gridSpan w:val="4"/>
            <w:shd w:val="clear" w:color="auto" w:fill="D9D9D9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  <w:bookmarkStart w:id="0" w:name="_GoBack"/>
            <w:bookmarkEnd w:id="0"/>
          </w:p>
        </w:tc>
      </w:tr>
      <w:tr w:rsidR="000A6974" w:rsidRPr="00AD1366" w:rsidTr="003342E4">
        <w:tc>
          <w:tcPr>
            <w:tcW w:w="16018" w:type="dxa"/>
            <w:gridSpan w:val="4"/>
            <w:shd w:val="clear" w:color="auto" w:fill="D9D9D9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  <w:r w:rsidRPr="00AD1366">
              <w:rPr>
                <w:rFonts w:ascii="Cambria" w:hAnsi="Cambria"/>
                <w:b/>
                <w:lang w:val="uz-Cyrl-UZ"/>
              </w:rPr>
              <w:t xml:space="preserve">УМУМИЙ ЎРТА ТАЪЛИМ </w:t>
            </w:r>
          </w:p>
        </w:tc>
      </w:tr>
      <w:tr w:rsidR="000A6974" w:rsidRPr="00AD1366" w:rsidTr="003342E4">
        <w:tc>
          <w:tcPr>
            <w:tcW w:w="425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ind w:left="-108" w:right="-108"/>
              <w:jc w:val="center"/>
              <w:rPr>
                <w:rFonts w:ascii="Cambria" w:hAnsi="Cambria"/>
                <w:lang w:val="uz-Cyrl-UZ"/>
              </w:rPr>
            </w:pPr>
            <w:r w:rsidRPr="00AD1366">
              <w:rPr>
                <w:rFonts w:ascii="Cambria" w:hAnsi="Cambria"/>
                <w:lang w:val="uz-Cyrl-UZ"/>
              </w:rPr>
              <w:t>1.</w:t>
            </w:r>
          </w:p>
        </w:tc>
        <w:tc>
          <w:tcPr>
            <w:tcW w:w="5246" w:type="dxa"/>
            <w:shd w:val="clear" w:color="auto" w:fill="auto"/>
          </w:tcPr>
          <w:p w:rsidR="000A6974" w:rsidRPr="0080658C" w:rsidRDefault="000A6974" w:rsidP="003342E4">
            <w:pPr>
              <w:spacing w:after="0" w:line="240" w:lineRule="auto"/>
              <w:ind w:firstLine="318"/>
              <w:jc w:val="both"/>
              <w:rPr>
                <w:rFonts w:ascii="Cambria" w:hAnsi="Cambria"/>
                <w:spacing w:val="-4"/>
                <w:lang w:val="uz-Cyrl-UZ"/>
              </w:rPr>
            </w:pPr>
            <w:r w:rsidRPr="0080658C">
              <w:rPr>
                <w:rFonts w:ascii="Cambria" w:hAnsi="Cambria"/>
                <w:spacing w:val="-4"/>
                <w:lang w:val="uz-Cyrl-UZ"/>
              </w:rPr>
              <w:t>Халқ таълими бошқарма ва бўлимлари раҳбарларини ҳоким маслаҳатчиси мақомини берилиши ва уларга яратилган шарт-шароитлар</w:t>
            </w:r>
            <w:r>
              <w:rPr>
                <w:rFonts w:ascii="Cambria" w:hAnsi="Cambria"/>
                <w:spacing w:val="-4"/>
                <w:lang w:val="uz-Cyrl-UZ"/>
              </w:rPr>
              <w:t>.</w:t>
            </w:r>
          </w:p>
          <w:p w:rsidR="000A6974" w:rsidRPr="00C909DC" w:rsidRDefault="000A6974" w:rsidP="003342E4">
            <w:pPr>
              <w:spacing w:after="0" w:line="240" w:lineRule="auto"/>
              <w:ind w:firstLine="318"/>
              <w:rPr>
                <w:rFonts w:ascii="Cambria" w:hAnsi="Cambria"/>
                <w:b/>
                <w:sz w:val="10"/>
                <w:szCs w:val="10"/>
                <w:lang w:val="uz-Cyrl-UZ"/>
              </w:rPr>
            </w:pPr>
          </w:p>
        </w:tc>
        <w:tc>
          <w:tcPr>
            <w:tcW w:w="5386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  <w:tc>
          <w:tcPr>
            <w:tcW w:w="4961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</w:tr>
      <w:tr w:rsidR="000A6974" w:rsidRPr="00AD1366" w:rsidTr="003342E4">
        <w:tc>
          <w:tcPr>
            <w:tcW w:w="425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ind w:left="-108" w:right="-108"/>
              <w:jc w:val="center"/>
              <w:rPr>
                <w:rFonts w:ascii="Cambria" w:hAnsi="Cambria"/>
                <w:lang w:val="uz-Cyrl-UZ"/>
              </w:rPr>
            </w:pPr>
            <w:r w:rsidRPr="00AD1366">
              <w:rPr>
                <w:rFonts w:ascii="Cambria" w:hAnsi="Cambria"/>
                <w:lang w:val="uz-Cyrl-UZ"/>
              </w:rPr>
              <w:t>2.</w:t>
            </w:r>
          </w:p>
        </w:tc>
        <w:tc>
          <w:tcPr>
            <w:tcW w:w="5246" w:type="dxa"/>
            <w:shd w:val="clear" w:color="auto" w:fill="auto"/>
          </w:tcPr>
          <w:p w:rsidR="000A6974" w:rsidRPr="00C909DC" w:rsidRDefault="000A6974" w:rsidP="003342E4">
            <w:pPr>
              <w:spacing w:after="0" w:line="240" w:lineRule="auto"/>
              <w:ind w:firstLine="318"/>
              <w:jc w:val="both"/>
              <w:rPr>
                <w:rFonts w:ascii="Cambria" w:hAnsi="Cambria"/>
                <w:spacing w:val="-4"/>
                <w:lang w:val="uz-Cyrl-UZ"/>
              </w:rPr>
            </w:pPr>
            <w:r w:rsidRPr="00C909DC">
              <w:rPr>
                <w:rFonts w:ascii="Cambria" w:hAnsi="Cambria"/>
                <w:spacing w:val="-4"/>
                <w:lang w:val="uz-Cyrl-UZ"/>
              </w:rPr>
              <w:t>Умумтаълим муассасалари директорларини лавозимга тайинлаш ҳамда иш берувчининг ташаббусига кўра лавозимидан озод этишнинг ҳудудий халқ таълими бошқармалари томонидан тегишли</w:t>
            </w:r>
            <w:r>
              <w:rPr>
                <w:rFonts w:ascii="Cambria" w:hAnsi="Cambria"/>
                <w:spacing w:val="-4"/>
                <w:lang w:val="uz-Cyrl-UZ"/>
              </w:rPr>
              <w:t xml:space="preserve"> </w:t>
            </w:r>
            <w:r w:rsidRPr="00C909DC">
              <w:rPr>
                <w:rFonts w:ascii="Cambria" w:hAnsi="Cambria"/>
                <w:spacing w:val="-4"/>
                <w:lang w:val="uz-Cyrl-UZ"/>
              </w:rPr>
              <w:t>халқ</w:t>
            </w:r>
            <w:r>
              <w:rPr>
                <w:rFonts w:ascii="Cambria" w:hAnsi="Cambria"/>
                <w:spacing w:val="-4"/>
                <w:lang w:val="uz-Cyrl-UZ"/>
              </w:rPr>
              <w:t xml:space="preserve"> </w:t>
            </w:r>
            <w:r w:rsidRPr="00C909DC">
              <w:rPr>
                <w:rFonts w:ascii="Cambria" w:hAnsi="Cambria"/>
                <w:spacing w:val="-4"/>
                <w:lang w:val="uz-Cyrl-UZ"/>
              </w:rPr>
              <w:t>депутатлари</w:t>
            </w:r>
            <w:r>
              <w:rPr>
                <w:rFonts w:ascii="Cambria" w:hAnsi="Cambria"/>
                <w:spacing w:val="-4"/>
                <w:lang w:val="uz-Cyrl-UZ"/>
              </w:rPr>
              <w:t xml:space="preserve"> </w:t>
            </w:r>
            <w:r w:rsidRPr="00C909DC">
              <w:rPr>
                <w:rFonts w:ascii="Cambria" w:hAnsi="Cambria"/>
                <w:spacing w:val="-4"/>
                <w:lang w:val="uz-Cyrl-UZ"/>
              </w:rPr>
              <w:t>туман (шаҳар) Кенгашлари билан келишилган ҳолда амалга ошириш тартиби жорий этиш ҳолати</w:t>
            </w:r>
            <w:r>
              <w:rPr>
                <w:rFonts w:ascii="Cambria" w:hAnsi="Cambria"/>
                <w:spacing w:val="-4"/>
                <w:lang w:val="uz-Cyrl-UZ"/>
              </w:rPr>
              <w:t>.</w:t>
            </w:r>
          </w:p>
          <w:p w:rsidR="000A6974" w:rsidRPr="00C909DC" w:rsidRDefault="000A6974" w:rsidP="003342E4">
            <w:pPr>
              <w:spacing w:after="0" w:line="240" w:lineRule="auto"/>
              <w:ind w:firstLine="318"/>
              <w:rPr>
                <w:rFonts w:ascii="Cambria" w:hAnsi="Cambria"/>
                <w:b/>
                <w:sz w:val="10"/>
                <w:szCs w:val="10"/>
                <w:lang w:val="uz-Cyrl-UZ"/>
              </w:rPr>
            </w:pPr>
          </w:p>
        </w:tc>
        <w:tc>
          <w:tcPr>
            <w:tcW w:w="5386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  <w:tc>
          <w:tcPr>
            <w:tcW w:w="4961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</w:tr>
      <w:tr w:rsidR="000A6974" w:rsidRPr="00AD1366" w:rsidTr="003342E4">
        <w:tc>
          <w:tcPr>
            <w:tcW w:w="425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ind w:left="-108" w:right="-108"/>
              <w:jc w:val="center"/>
              <w:rPr>
                <w:rFonts w:ascii="Cambria" w:hAnsi="Cambria"/>
                <w:lang w:val="uz-Cyrl-UZ"/>
              </w:rPr>
            </w:pPr>
            <w:r w:rsidRPr="00AD1366">
              <w:rPr>
                <w:rFonts w:ascii="Cambria" w:hAnsi="Cambria"/>
                <w:lang w:val="uz-Cyrl-UZ"/>
              </w:rPr>
              <w:t>3.</w:t>
            </w:r>
          </w:p>
        </w:tc>
        <w:tc>
          <w:tcPr>
            <w:tcW w:w="5246" w:type="dxa"/>
            <w:shd w:val="clear" w:color="auto" w:fill="auto"/>
          </w:tcPr>
          <w:p w:rsidR="000A6974" w:rsidRPr="00C909DC" w:rsidRDefault="000A6974" w:rsidP="003342E4">
            <w:pPr>
              <w:spacing w:after="0" w:line="240" w:lineRule="auto"/>
              <w:ind w:firstLine="318"/>
              <w:jc w:val="both"/>
              <w:rPr>
                <w:rFonts w:ascii="Cambria" w:hAnsi="Cambria"/>
                <w:spacing w:val="-4"/>
                <w:lang w:val="uz-Cyrl-UZ"/>
              </w:rPr>
            </w:pPr>
            <w:r w:rsidRPr="00C909DC">
              <w:rPr>
                <w:rFonts w:ascii="Cambria" w:hAnsi="Cambria"/>
                <w:spacing w:val="-4"/>
                <w:lang w:val="uz-Cyrl-UZ"/>
              </w:rPr>
              <w:t xml:space="preserve">Мактабларнинг инфратузилмаси, жумладан, иситиш тизими (иситиш қозонлари мунтазам ишлаши, буржуйка печлар билан иситишига барҳам бериш), ичимлик суви билан таъминланганлик, </w:t>
            </w:r>
            <w:r w:rsidRPr="00C909DC">
              <w:rPr>
                <w:rFonts w:ascii="Cambria" w:hAnsi="Cambria"/>
                <w:spacing w:val="-4"/>
                <w:lang w:val="uz-Cyrl-UZ"/>
              </w:rPr>
              <w:lastRenderedPageBreak/>
              <w:t>мактабларнинг атрофи тўлиқ</w:t>
            </w:r>
            <w:r>
              <w:rPr>
                <w:rFonts w:ascii="Cambria" w:hAnsi="Cambria"/>
                <w:spacing w:val="-4"/>
                <w:lang w:val="uz-Cyrl-UZ"/>
              </w:rPr>
              <w:t xml:space="preserve"> </w:t>
            </w:r>
            <w:r w:rsidRPr="00C909DC">
              <w:rPr>
                <w:rFonts w:ascii="Cambria" w:hAnsi="Cambria"/>
                <w:spacing w:val="-4"/>
                <w:lang w:val="uz-Cyrl-UZ"/>
              </w:rPr>
              <w:t>ўралганлик ҳолати</w:t>
            </w:r>
            <w:r>
              <w:rPr>
                <w:rFonts w:ascii="Cambria" w:hAnsi="Cambria"/>
                <w:spacing w:val="-4"/>
                <w:lang w:val="uz-Cyrl-UZ"/>
              </w:rPr>
              <w:t>.</w:t>
            </w:r>
          </w:p>
          <w:p w:rsidR="000A6974" w:rsidRPr="00C909DC" w:rsidRDefault="000A6974" w:rsidP="003342E4">
            <w:pPr>
              <w:spacing w:after="0" w:line="240" w:lineRule="auto"/>
              <w:ind w:firstLine="318"/>
              <w:rPr>
                <w:rFonts w:ascii="Cambria" w:hAnsi="Cambria"/>
                <w:b/>
                <w:sz w:val="10"/>
                <w:szCs w:val="10"/>
                <w:lang w:val="uz-Cyrl-UZ"/>
              </w:rPr>
            </w:pPr>
          </w:p>
        </w:tc>
        <w:tc>
          <w:tcPr>
            <w:tcW w:w="5386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  <w:tc>
          <w:tcPr>
            <w:tcW w:w="4961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</w:tr>
      <w:tr w:rsidR="000A6974" w:rsidRPr="00AD1366" w:rsidTr="003342E4">
        <w:tc>
          <w:tcPr>
            <w:tcW w:w="425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ind w:left="-108" w:right="-108"/>
              <w:jc w:val="center"/>
              <w:rPr>
                <w:rFonts w:ascii="Cambria" w:hAnsi="Cambria"/>
                <w:lang w:val="uz-Cyrl-UZ"/>
              </w:rPr>
            </w:pPr>
            <w:r w:rsidRPr="00AD1366">
              <w:rPr>
                <w:rFonts w:ascii="Cambria" w:hAnsi="Cambria"/>
                <w:lang w:val="uz-Cyrl-UZ"/>
              </w:rPr>
              <w:lastRenderedPageBreak/>
              <w:t>4.</w:t>
            </w:r>
          </w:p>
        </w:tc>
        <w:tc>
          <w:tcPr>
            <w:tcW w:w="5246" w:type="dxa"/>
            <w:shd w:val="clear" w:color="auto" w:fill="auto"/>
          </w:tcPr>
          <w:p w:rsidR="000A6974" w:rsidRPr="00C909DC" w:rsidRDefault="000A6974" w:rsidP="003342E4">
            <w:pPr>
              <w:spacing w:after="0" w:line="240" w:lineRule="auto"/>
              <w:ind w:firstLine="318"/>
              <w:jc w:val="both"/>
              <w:rPr>
                <w:rFonts w:ascii="Cambria" w:hAnsi="Cambria"/>
                <w:spacing w:val="-4"/>
                <w:lang w:val="uz-Cyrl-UZ"/>
              </w:rPr>
            </w:pPr>
            <w:r w:rsidRPr="00C909DC">
              <w:rPr>
                <w:rFonts w:ascii="Cambria" w:hAnsi="Cambria"/>
                <w:spacing w:val="-4"/>
                <w:lang w:val="uz-Cyrl-UZ"/>
              </w:rPr>
              <w:t>Мактабларда санитар-гигиеник хоналарнинг қурилиш ва таъмирланиши ҳолати ҳамда санитария-гигиена талаблари асосида маҳаллий давлат ҳокимияти органлари томонидан амалга оширилган ишлар</w:t>
            </w:r>
            <w:r>
              <w:rPr>
                <w:rFonts w:ascii="Cambria" w:hAnsi="Cambria"/>
                <w:spacing w:val="-4"/>
                <w:lang w:val="uz-Cyrl-UZ"/>
              </w:rPr>
              <w:t>.</w:t>
            </w:r>
          </w:p>
          <w:p w:rsidR="000A6974" w:rsidRPr="00C909DC" w:rsidRDefault="000A6974" w:rsidP="003342E4">
            <w:pPr>
              <w:spacing w:after="0" w:line="240" w:lineRule="auto"/>
              <w:ind w:firstLine="318"/>
              <w:rPr>
                <w:rFonts w:ascii="Cambria" w:hAnsi="Cambria"/>
                <w:b/>
                <w:sz w:val="10"/>
                <w:szCs w:val="10"/>
                <w:lang w:val="uz-Cyrl-UZ"/>
              </w:rPr>
            </w:pPr>
          </w:p>
        </w:tc>
        <w:tc>
          <w:tcPr>
            <w:tcW w:w="5386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  <w:tc>
          <w:tcPr>
            <w:tcW w:w="4961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</w:tr>
      <w:tr w:rsidR="000A6974" w:rsidRPr="00AD1366" w:rsidTr="003342E4">
        <w:tc>
          <w:tcPr>
            <w:tcW w:w="425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ind w:left="-108" w:right="-108"/>
              <w:jc w:val="center"/>
              <w:rPr>
                <w:rFonts w:ascii="Cambria" w:hAnsi="Cambria"/>
                <w:lang w:val="uz-Cyrl-UZ"/>
              </w:rPr>
            </w:pPr>
            <w:r w:rsidRPr="00AD1366">
              <w:rPr>
                <w:rFonts w:ascii="Cambria" w:hAnsi="Cambria"/>
                <w:lang w:val="uz-Cyrl-UZ"/>
              </w:rPr>
              <w:t>5.</w:t>
            </w:r>
          </w:p>
        </w:tc>
        <w:tc>
          <w:tcPr>
            <w:tcW w:w="5246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ind w:firstLine="318"/>
              <w:jc w:val="both"/>
              <w:rPr>
                <w:rFonts w:ascii="Cambria" w:hAnsi="Cambria"/>
                <w:b/>
                <w:lang w:val="uz-Cyrl-UZ"/>
              </w:rPr>
            </w:pPr>
            <w:r w:rsidRPr="00C909DC">
              <w:rPr>
                <w:rFonts w:ascii="Cambria" w:hAnsi="Cambria"/>
                <w:spacing w:val="-10"/>
                <w:lang w:val="uz-Cyrl-UZ"/>
              </w:rPr>
              <w:t>Умумтаълим мактаблари ўқувчиларини касб-ҳунарга йўналтириш олиб борилаётган ишлар</w:t>
            </w:r>
            <w:r>
              <w:rPr>
                <w:rFonts w:ascii="Cambria" w:hAnsi="Cambria"/>
                <w:spacing w:val="-10"/>
                <w:lang w:val="uz-Cyrl-UZ"/>
              </w:rPr>
              <w:t>.</w:t>
            </w:r>
          </w:p>
        </w:tc>
        <w:tc>
          <w:tcPr>
            <w:tcW w:w="5386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  <w:tc>
          <w:tcPr>
            <w:tcW w:w="4961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</w:tr>
      <w:tr w:rsidR="000A6974" w:rsidRPr="00AD1366" w:rsidTr="003342E4">
        <w:tc>
          <w:tcPr>
            <w:tcW w:w="425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ind w:left="-108" w:right="-108"/>
              <w:jc w:val="center"/>
              <w:rPr>
                <w:rFonts w:ascii="Cambria" w:hAnsi="Cambria"/>
                <w:lang w:val="uz-Cyrl-UZ"/>
              </w:rPr>
            </w:pPr>
            <w:r>
              <w:rPr>
                <w:rFonts w:ascii="Cambria" w:hAnsi="Cambria"/>
                <w:lang w:val="uz-Cyrl-UZ"/>
              </w:rPr>
              <w:t>6.</w:t>
            </w:r>
          </w:p>
        </w:tc>
        <w:tc>
          <w:tcPr>
            <w:tcW w:w="5246" w:type="dxa"/>
            <w:shd w:val="clear" w:color="auto" w:fill="auto"/>
          </w:tcPr>
          <w:p w:rsidR="000A6974" w:rsidRPr="00C909DC" w:rsidRDefault="000A6974" w:rsidP="003342E4">
            <w:pPr>
              <w:spacing w:after="0" w:line="240" w:lineRule="auto"/>
              <w:ind w:firstLine="318"/>
              <w:jc w:val="both"/>
              <w:rPr>
                <w:rFonts w:ascii="Cambria" w:hAnsi="Cambria"/>
                <w:spacing w:val="-4"/>
                <w:lang w:val="uz-Cyrl-UZ"/>
              </w:rPr>
            </w:pPr>
            <w:r w:rsidRPr="00C909DC">
              <w:rPr>
                <w:rFonts w:ascii="Cambria" w:hAnsi="Cambria"/>
                <w:spacing w:val="-4"/>
                <w:lang w:val="uz-Cyrl-UZ"/>
              </w:rPr>
              <w:t>Маҳаллий ҳокимликлар томонидан битирувчиларнинг бандлиги бўйича амалга оширилаётган ишлар</w:t>
            </w:r>
            <w:r>
              <w:rPr>
                <w:rFonts w:ascii="Cambria" w:hAnsi="Cambria"/>
                <w:spacing w:val="-4"/>
                <w:lang w:val="uz-Cyrl-UZ"/>
              </w:rPr>
              <w:t>.</w:t>
            </w:r>
          </w:p>
          <w:p w:rsidR="000A6974" w:rsidRPr="00C909DC" w:rsidRDefault="000A6974" w:rsidP="003342E4">
            <w:pPr>
              <w:spacing w:after="0" w:line="240" w:lineRule="auto"/>
              <w:ind w:firstLine="318"/>
              <w:rPr>
                <w:rFonts w:ascii="Cambria" w:hAnsi="Cambria"/>
                <w:b/>
                <w:sz w:val="10"/>
                <w:szCs w:val="10"/>
                <w:lang w:val="uz-Cyrl-UZ"/>
              </w:rPr>
            </w:pPr>
          </w:p>
        </w:tc>
        <w:tc>
          <w:tcPr>
            <w:tcW w:w="5386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  <w:tc>
          <w:tcPr>
            <w:tcW w:w="4961" w:type="dxa"/>
            <w:shd w:val="clear" w:color="auto" w:fill="auto"/>
          </w:tcPr>
          <w:p w:rsidR="000A6974" w:rsidRPr="00AD1366" w:rsidRDefault="000A6974" w:rsidP="003342E4">
            <w:pPr>
              <w:spacing w:after="0" w:line="240" w:lineRule="auto"/>
              <w:jc w:val="center"/>
              <w:rPr>
                <w:rFonts w:ascii="Cambria" w:hAnsi="Cambria"/>
                <w:b/>
                <w:lang w:val="uz-Cyrl-UZ"/>
              </w:rPr>
            </w:pPr>
          </w:p>
        </w:tc>
      </w:tr>
    </w:tbl>
    <w:p w:rsidR="00F12C76" w:rsidRPr="000A6974" w:rsidRDefault="00F12C76" w:rsidP="006C0B77">
      <w:pPr>
        <w:spacing w:after="0"/>
        <w:ind w:firstLine="709"/>
        <w:jc w:val="both"/>
        <w:rPr>
          <w:lang w:val="uz-Cyrl-UZ"/>
        </w:rPr>
      </w:pPr>
    </w:p>
    <w:sectPr w:rsidR="00F12C76" w:rsidRPr="000A6974" w:rsidSect="000A6974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2F"/>
    <w:rsid w:val="000A6974"/>
    <w:rsid w:val="004C582F"/>
    <w:rsid w:val="006C0B77"/>
    <w:rsid w:val="008242FF"/>
    <w:rsid w:val="00870751"/>
    <w:rsid w:val="00922C48"/>
    <w:rsid w:val="00B915B7"/>
    <w:rsid w:val="00D942A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5A6D"/>
  <w15:chartTrackingRefBased/>
  <w15:docId w15:val="{08305FC0-DDB7-41E7-84DE-A45FA0F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7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2021-02-04T12:03:00Z</dcterms:created>
  <dcterms:modified xsi:type="dcterms:W3CDTF">2021-02-04T12:04:00Z</dcterms:modified>
</cp:coreProperties>
</file>