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A0B" w:rsidRPr="000B1FA1" w:rsidRDefault="00CC5A0B" w:rsidP="00CC5A0B">
      <w:pPr>
        <w:spacing w:after="0" w:line="240" w:lineRule="auto"/>
        <w:jc w:val="center"/>
        <w:rPr>
          <w:rFonts w:ascii="Times New Roman" w:hAnsi="Times New Roman" w:cs="Times New Roman"/>
          <w:b/>
          <w:sz w:val="28"/>
          <w:szCs w:val="28"/>
          <w:lang w:val="uz-Cyrl-UZ"/>
        </w:rPr>
      </w:pPr>
      <w:bookmarkStart w:id="0" w:name="_GoBack"/>
      <w:bookmarkEnd w:id="0"/>
      <w:r w:rsidRPr="000B1FA1">
        <w:rPr>
          <w:rFonts w:ascii="Times New Roman" w:hAnsi="Times New Roman" w:cs="Times New Roman"/>
          <w:b/>
          <w:sz w:val="28"/>
          <w:szCs w:val="28"/>
          <w:lang w:val="uz-Cyrl-UZ"/>
        </w:rPr>
        <w:t xml:space="preserve">Ўзбекистон Республикасининг </w:t>
      </w:r>
      <w:r>
        <w:rPr>
          <w:rFonts w:ascii="Times New Roman" w:hAnsi="Times New Roman" w:cs="Times New Roman"/>
          <w:b/>
          <w:sz w:val="28"/>
          <w:szCs w:val="28"/>
          <w:lang w:val="uz-Cyrl-UZ"/>
        </w:rPr>
        <w:t xml:space="preserve">“Маъмурий ҳуқуқбузарликлар тўғрисидаги </w:t>
      </w:r>
      <w:r w:rsidRPr="000B1FA1">
        <w:rPr>
          <w:rFonts w:ascii="Times New Roman" w:hAnsi="Times New Roman" w:cs="Times New Roman"/>
          <w:b/>
          <w:sz w:val="28"/>
          <w:szCs w:val="28"/>
          <w:lang w:val="uz-Cyrl-UZ"/>
        </w:rPr>
        <w:t>кодекси</w:t>
      </w:r>
      <w:r>
        <w:rPr>
          <w:rFonts w:ascii="Times New Roman" w:hAnsi="Times New Roman" w:cs="Times New Roman"/>
          <w:b/>
          <w:sz w:val="28"/>
          <w:szCs w:val="28"/>
          <w:lang w:val="uz-Cyrl-UZ"/>
        </w:rPr>
        <w:t>”</w:t>
      </w:r>
      <w:r w:rsidRPr="000B1FA1">
        <w:rPr>
          <w:rFonts w:ascii="Times New Roman" w:hAnsi="Times New Roman" w:cs="Times New Roman"/>
          <w:b/>
          <w:sz w:val="28"/>
          <w:szCs w:val="28"/>
          <w:lang w:val="uz-Cyrl-UZ"/>
        </w:rPr>
        <w:t>ни тасдиқлаш тўғрисидаги лойиҳаси юзасидан</w:t>
      </w:r>
    </w:p>
    <w:p w:rsidR="00CC5A0B" w:rsidRPr="000B1FA1" w:rsidRDefault="00CC5A0B" w:rsidP="00CC5A0B">
      <w:pPr>
        <w:spacing w:after="0" w:line="240" w:lineRule="auto"/>
        <w:jc w:val="center"/>
        <w:rPr>
          <w:rFonts w:ascii="Times New Roman" w:hAnsi="Times New Roman" w:cs="Times New Roman"/>
          <w:b/>
          <w:sz w:val="28"/>
          <w:szCs w:val="28"/>
          <w:lang w:val="uz-Cyrl-UZ"/>
        </w:rPr>
      </w:pPr>
      <w:r w:rsidRPr="000B1FA1">
        <w:rPr>
          <w:rFonts w:ascii="Times New Roman" w:hAnsi="Times New Roman" w:cs="Times New Roman"/>
          <w:b/>
          <w:sz w:val="28"/>
          <w:szCs w:val="28"/>
          <w:lang w:val="uz-Cyrl-UZ"/>
        </w:rPr>
        <w:t>ТАКЛИФЛАР</w:t>
      </w:r>
    </w:p>
    <w:p w:rsidR="00CC5A0B" w:rsidRPr="000B1FA1" w:rsidRDefault="00CC5A0B" w:rsidP="00CC5A0B">
      <w:pPr>
        <w:spacing w:after="0" w:line="240" w:lineRule="auto"/>
        <w:ind w:firstLine="708"/>
        <w:jc w:val="both"/>
        <w:rPr>
          <w:rFonts w:ascii="Times New Roman" w:eastAsia="Times New Roman" w:hAnsi="Times New Roman" w:cs="Times New Roman"/>
          <w:b/>
          <w:color w:val="000000"/>
          <w:sz w:val="25"/>
          <w:szCs w:val="25"/>
          <w:lang w:val="uz-Cyrl-UZ" w:eastAsia="ru-RU"/>
        </w:rPr>
      </w:pPr>
    </w:p>
    <w:p w:rsidR="00CC5A0B" w:rsidRPr="000B1FA1" w:rsidRDefault="00CC5A0B" w:rsidP="00CC5A0B">
      <w:pPr>
        <w:spacing w:after="0" w:line="240" w:lineRule="auto"/>
        <w:ind w:firstLine="708"/>
        <w:jc w:val="both"/>
        <w:rPr>
          <w:rFonts w:ascii="Times New Roman" w:eastAsia="Times New Roman" w:hAnsi="Times New Roman" w:cs="Times New Roman"/>
          <w:b/>
          <w:color w:val="000000"/>
          <w:sz w:val="25"/>
          <w:szCs w:val="25"/>
          <w:lang w:val="uz-Cyrl-UZ" w:eastAsia="ru-RU"/>
        </w:rPr>
      </w:pPr>
    </w:p>
    <w:p w:rsidR="00CC5A0B" w:rsidRDefault="00CC5A0B" w:rsidP="00CC5A0B">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Ўзбекистон Республикасининг “</w:t>
      </w:r>
      <w:r>
        <w:rPr>
          <w:rFonts w:ascii="Times New Roman" w:hAnsi="Times New Roman" w:cs="Times New Roman"/>
          <w:b/>
          <w:sz w:val="28"/>
          <w:szCs w:val="28"/>
          <w:lang w:val="uz-Cyrl-UZ"/>
        </w:rPr>
        <w:t xml:space="preserve">Маъмурий ҳуқуқбузарликлар тўғрисидаги </w:t>
      </w:r>
      <w:r w:rsidRPr="000B1FA1">
        <w:rPr>
          <w:rFonts w:ascii="Times New Roman" w:hAnsi="Times New Roman" w:cs="Times New Roman"/>
          <w:b/>
          <w:sz w:val="28"/>
          <w:szCs w:val="28"/>
          <w:lang w:val="uz-Cyrl-UZ"/>
        </w:rPr>
        <w:t>кодекси</w:t>
      </w:r>
      <w:r>
        <w:rPr>
          <w:rFonts w:ascii="Times New Roman" w:hAnsi="Times New Roman" w:cs="Times New Roman"/>
          <w:sz w:val="28"/>
          <w:szCs w:val="28"/>
          <w:lang w:val="uz-Cyrl-UZ"/>
        </w:rPr>
        <w:t xml:space="preserve">”ни тасдиқлаш тўғрисидаги лойиҳаси ўрганиб чиқилиб, қўйидаги таклифларни қўшиш мақсадга мувофиқ бўлади; </w:t>
      </w:r>
    </w:p>
    <w:p w:rsidR="00CC5A0B" w:rsidRPr="00811205" w:rsidRDefault="00CC5A0B" w:rsidP="00CC5A0B">
      <w:pPr>
        <w:jc w:val="center"/>
        <w:rPr>
          <w:rFonts w:ascii="Times New Roman" w:hAnsi="Times New Roman" w:cs="Times New Roman"/>
          <w:b/>
          <w:sz w:val="24"/>
          <w:szCs w:val="24"/>
          <w:lang w:val="uz-Cyrl-UZ"/>
        </w:rPr>
      </w:pPr>
      <w:r w:rsidRPr="00811205">
        <w:rPr>
          <w:rFonts w:ascii="Times New Roman" w:hAnsi="Times New Roman" w:cs="Times New Roman"/>
          <w:b/>
          <w:sz w:val="24"/>
          <w:szCs w:val="24"/>
          <w:lang w:val="uz-Cyrl-UZ"/>
        </w:rPr>
        <w:t xml:space="preserve"> </w:t>
      </w:r>
    </w:p>
    <w:tbl>
      <w:tblPr>
        <w:tblStyle w:val="a3"/>
        <w:tblW w:w="10036" w:type="dxa"/>
        <w:tblInd w:w="-289" w:type="dxa"/>
        <w:tblLook w:val="04A0" w:firstRow="1" w:lastRow="0" w:firstColumn="1" w:lastColumn="0" w:noHBand="0" w:noVBand="1"/>
      </w:tblPr>
      <w:tblGrid>
        <w:gridCol w:w="458"/>
        <w:gridCol w:w="3200"/>
        <w:gridCol w:w="3260"/>
        <w:gridCol w:w="3118"/>
      </w:tblGrid>
      <w:tr w:rsidR="00D17EEE" w:rsidRPr="00CC5A0B" w:rsidTr="00D17EEE">
        <w:tc>
          <w:tcPr>
            <w:tcW w:w="458" w:type="dxa"/>
          </w:tcPr>
          <w:p w:rsidR="00CC5A0B" w:rsidRPr="00CC5A0B" w:rsidRDefault="00CC5A0B" w:rsidP="00A26D60">
            <w:pPr>
              <w:rPr>
                <w:rFonts w:ascii="Times New Roman" w:hAnsi="Times New Roman" w:cs="Times New Roman"/>
                <w:b/>
                <w:sz w:val="20"/>
                <w:szCs w:val="20"/>
                <w:lang w:val="uz-Cyrl-UZ"/>
              </w:rPr>
            </w:pPr>
            <w:r w:rsidRPr="00CC5A0B">
              <w:rPr>
                <w:rFonts w:ascii="Times New Roman" w:hAnsi="Times New Roman" w:cs="Times New Roman"/>
                <w:b/>
                <w:sz w:val="20"/>
                <w:szCs w:val="20"/>
                <w:lang w:val="uz-Cyrl-UZ"/>
              </w:rPr>
              <w:t>№</w:t>
            </w:r>
          </w:p>
        </w:tc>
        <w:tc>
          <w:tcPr>
            <w:tcW w:w="3200" w:type="dxa"/>
          </w:tcPr>
          <w:p w:rsidR="00CC5A0B" w:rsidRPr="00CC5A0B" w:rsidRDefault="00CC5A0B" w:rsidP="00A26D60">
            <w:pPr>
              <w:jc w:val="both"/>
              <w:rPr>
                <w:rFonts w:ascii="Times New Roman" w:hAnsi="Times New Roman" w:cs="Times New Roman"/>
                <w:b/>
                <w:sz w:val="20"/>
                <w:szCs w:val="20"/>
                <w:lang w:val="uz-Cyrl-UZ"/>
              </w:rPr>
            </w:pPr>
            <w:r w:rsidRPr="00CC5A0B">
              <w:rPr>
                <w:rFonts w:ascii="Times New Roman" w:hAnsi="Times New Roman" w:cs="Times New Roman"/>
                <w:b/>
                <w:sz w:val="20"/>
                <w:szCs w:val="20"/>
                <w:lang w:val="uz-Cyrl-UZ"/>
              </w:rPr>
              <w:t xml:space="preserve">                 Амалдаги таҳрир</w:t>
            </w:r>
          </w:p>
        </w:tc>
        <w:tc>
          <w:tcPr>
            <w:tcW w:w="3260" w:type="dxa"/>
          </w:tcPr>
          <w:p w:rsidR="00CC5A0B" w:rsidRPr="00CC5A0B" w:rsidRDefault="00CC5A0B" w:rsidP="00CC5A0B">
            <w:pPr>
              <w:shd w:val="clear" w:color="auto" w:fill="FFFFFF"/>
              <w:jc w:val="center"/>
              <w:rPr>
                <w:rFonts w:ascii="Times New Roman" w:hAnsi="Times New Roman" w:cs="Times New Roman"/>
                <w:b/>
                <w:sz w:val="20"/>
                <w:szCs w:val="20"/>
                <w:lang w:val="uz-Cyrl-UZ"/>
              </w:rPr>
            </w:pPr>
            <w:r w:rsidRPr="00CC5A0B">
              <w:rPr>
                <w:rFonts w:ascii="Times New Roman" w:hAnsi="Times New Roman" w:cs="Times New Roman"/>
                <w:b/>
                <w:sz w:val="20"/>
                <w:szCs w:val="20"/>
                <w:lang w:val="uz-Cyrl-UZ"/>
              </w:rPr>
              <w:t>Таклиф этилаётган таҳрир</w:t>
            </w:r>
          </w:p>
        </w:tc>
        <w:tc>
          <w:tcPr>
            <w:tcW w:w="3118" w:type="dxa"/>
          </w:tcPr>
          <w:p w:rsidR="00CC5A0B" w:rsidRPr="00CC5A0B" w:rsidRDefault="00CC5A0B" w:rsidP="00A26D60">
            <w:pPr>
              <w:shd w:val="clear" w:color="auto" w:fill="FFFFFF"/>
              <w:jc w:val="both"/>
              <w:rPr>
                <w:rFonts w:ascii="Times New Roman" w:hAnsi="Times New Roman" w:cs="Times New Roman"/>
                <w:b/>
                <w:sz w:val="20"/>
                <w:szCs w:val="20"/>
                <w:lang w:val="uz-Cyrl-UZ"/>
              </w:rPr>
            </w:pPr>
            <w:r w:rsidRPr="00CC5A0B">
              <w:rPr>
                <w:rFonts w:ascii="Times New Roman" w:hAnsi="Times New Roman" w:cs="Times New Roman"/>
                <w:b/>
                <w:sz w:val="20"/>
                <w:szCs w:val="20"/>
                <w:lang w:val="uz-Cyrl-UZ"/>
              </w:rPr>
              <w:t xml:space="preserve">               Асослантириш </w:t>
            </w:r>
          </w:p>
          <w:p w:rsidR="00CC5A0B" w:rsidRPr="00CC5A0B" w:rsidRDefault="00CC5A0B" w:rsidP="00A26D60">
            <w:pPr>
              <w:shd w:val="clear" w:color="auto" w:fill="FFFFFF"/>
              <w:jc w:val="both"/>
              <w:rPr>
                <w:rFonts w:ascii="Times New Roman" w:hAnsi="Times New Roman" w:cs="Times New Roman"/>
                <w:b/>
                <w:sz w:val="20"/>
                <w:szCs w:val="20"/>
                <w:lang w:val="uz-Cyrl-UZ"/>
              </w:rPr>
            </w:pPr>
          </w:p>
        </w:tc>
      </w:tr>
      <w:tr w:rsidR="00952287" w:rsidRPr="009D7DC4" w:rsidTr="00D17EEE">
        <w:tc>
          <w:tcPr>
            <w:tcW w:w="458" w:type="dxa"/>
          </w:tcPr>
          <w:p w:rsidR="00952287" w:rsidRPr="00CC5A0B" w:rsidRDefault="00952287" w:rsidP="00A26D60">
            <w:pPr>
              <w:rPr>
                <w:rFonts w:ascii="Times New Roman" w:hAnsi="Times New Roman" w:cs="Times New Roman"/>
                <w:b/>
                <w:sz w:val="20"/>
                <w:szCs w:val="20"/>
                <w:lang w:val="uz-Cyrl-UZ"/>
              </w:rPr>
            </w:pPr>
            <w:r>
              <w:rPr>
                <w:rFonts w:ascii="Times New Roman" w:hAnsi="Times New Roman" w:cs="Times New Roman"/>
                <w:b/>
                <w:sz w:val="20"/>
                <w:szCs w:val="20"/>
                <w:lang w:val="uz-Cyrl-UZ"/>
              </w:rPr>
              <w:t>1.</w:t>
            </w:r>
          </w:p>
        </w:tc>
        <w:tc>
          <w:tcPr>
            <w:tcW w:w="3200" w:type="dxa"/>
          </w:tcPr>
          <w:p w:rsidR="00952287" w:rsidRDefault="00952287" w:rsidP="00A26D60">
            <w:pPr>
              <w:jc w:val="both"/>
              <w:rPr>
                <w:rFonts w:ascii="Times New Roman" w:hAnsi="Times New Roman" w:cs="Times New Roman"/>
                <w:b/>
                <w:sz w:val="20"/>
                <w:szCs w:val="20"/>
                <w:lang w:val="uz-Cyrl-UZ"/>
              </w:rPr>
            </w:pPr>
            <w:r>
              <w:rPr>
                <w:rFonts w:ascii="Times New Roman" w:hAnsi="Times New Roman" w:cs="Times New Roman"/>
                <w:b/>
                <w:sz w:val="20"/>
                <w:szCs w:val="20"/>
                <w:lang w:val="uz-Cyrl-UZ"/>
              </w:rPr>
              <w:t>74 модда 2-қисми.</w:t>
            </w:r>
          </w:p>
          <w:p w:rsidR="00952287" w:rsidRDefault="00952287" w:rsidP="00A26D60">
            <w:pPr>
              <w:jc w:val="both"/>
              <w:rPr>
                <w:rFonts w:ascii="Times New Roman" w:hAnsi="Times New Roman" w:cs="Times New Roman"/>
                <w:b/>
                <w:sz w:val="20"/>
                <w:szCs w:val="20"/>
                <w:lang w:val="uz-Cyrl-UZ"/>
              </w:rPr>
            </w:pPr>
          </w:p>
          <w:p w:rsidR="009D7DC4" w:rsidRPr="009D7DC4" w:rsidRDefault="009D7DC4" w:rsidP="009D7DC4">
            <w:pPr>
              <w:jc w:val="both"/>
              <w:rPr>
                <w:rFonts w:ascii="Times New Roman" w:hAnsi="Times New Roman" w:cs="Times New Roman"/>
                <w:sz w:val="20"/>
                <w:szCs w:val="20"/>
                <w:lang w:val="uz-Cyrl-UZ"/>
              </w:rPr>
            </w:pPr>
            <w:r w:rsidRPr="009D7DC4">
              <w:rPr>
                <w:rFonts w:ascii="Times New Roman" w:hAnsi="Times New Roman" w:cs="Times New Roman"/>
                <w:sz w:val="20"/>
                <w:szCs w:val="20"/>
                <w:lang w:val="uz-Cyrl-UZ"/>
              </w:rPr>
              <w:t>Сунъий сув оқимлари (очиқ ва ёпиқ каналлар, коллектор-дренаж тармоқлари), сув ҳавзалари (сув омборлари, сел сувлари тўпланадиган жойлар, ҳовузлар ва бошқалар) ҳамда бошқа сунъий сув объектларидан олинадиган сувдан фойдаланиш ва сув истеъмоли қоидаларини бузиш, яъни сувдан хўжасизларча фойдаланиш, сувларнинг ва сув объектларининг ҳолатига таъсир этувчи гидротехника ишларини ва бошқа ишларни ўзбошимчалик билан бажариш, сув объектларидан белгиланган сув олиш лимитлари, сувдан фойдаланиш ва сув истеъмоли режаларини бузиш —</w:t>
            </w:r>
          </w:p>
          <w:p w:rsidR="00952287" w:rsidRPr="00CC5A0B" w:rsidRDefault="009D7DC4" w:rsidP="009D7DC4">
            <w:pPr>
              <w:jc w:val="both"/>
              <w:rPr>
                <w:rFonts w:ascii="Times New Roman" w:hAnsi="Times New Roman" w:cs="Times New Roman"/>
                <w:b/>
                <w:sz w:val="20"/>
                <w:szCs w:val="20"/>
                <w:lang w:val="uz-Cyrl-UZ"/>
              </w:rPr>
            </w:pPr>
            <w:r w:rsidRPr="009D7DC4">
              <w:rPr>
                <w:rFonts w:ascii="Times New Roman" w:hAnsi="Times New Roman" w:cs="Times New Roman"/>
                <w:sz w:val="20"/>
                <w:szCs w:val="20"/>
                <w:lang w:val="uz-Cyrl-UZ"/>
              </w:rPr>
              <w:t>фуқароларга базавий ҳисоблаш миқдорининг бир бараваридан уч бараваригача, мансабдор шахсларга эса — беш бараваридан ўн бараваригача миқдорда жарима солишга сабаб бўлади.</w:t>
            </w:r>
          </w:p>
        </w:tc>
        <w:tc>
          <w:tcPr>
            <w:tcW w:w="3260" w:type="dxa"/>
          </w:tcPr>
          <w:p w:rsidR="009D7DC4" w:rsidRDefault="009D7DC4" w:rsidP="009D7DC4">
            <w:pPr>
              <w:jc w:val="both"/>
              <w:rPr>
                <w:rFonts w:ascii="Times New Roman" w:hAnsi="Times New Roman" w:cs="Times New Roman"/>
                <w:b/>
                <w:sz w:val="20"/>
                <w:szCs w:val="20"/>
                <w:lang w:val="uz-Cyrl-UZ"/>
              </w:rPr>
            </w:pPr>
            <w:r>
              <w:rPr>
                <w:rFonts w:ascii="Times New Roman" w:hAnsi="Times New Roman" w:cs="Times New Roman"/>
                <w:b/>
                <w:sz w:val="20"/>
                <w:szCs w:val="20"/>
                <w:lang w:val="uz-Cyrl-UZ"/>
              </w:rPr>
              <w:t>74 модда 2-қисми.</w:t>
            </w:r>
          </w:p>
          <w:p w:rsidR="00952287" w:rsidRDefault="00952287" w:rsidP="00CC5A0B">
            <w:pPr>
              <w:shd w:val="clear" w:color="auto" w:fill="FFFFFF"/>
              <w:jc w:val="center"/>
              <w:rPr>
                <w:rFonts w:ascii="Times New Roman" w:hAnsi="Times New Roman" w:cs="Times New Roman"/>
                <w:b/>
                <w:sz w:val="20"/>
                <w:szCs w:val="20"/>
                <w:lang w:val="uz-Cyrl-UZ"/>
              </w:rPr>
            </w:pPr>
          </w:p>
          <w:p w:rsidR="009D7DC4" w:rsidRPr="009D7DC4" w:rsidRDefault="009D7DC4" w:rsidP="009D7DC4">
            <w:pPr>
              <w:jc w:val="both"/>
              <w:rPr>
                <w:rFonts w:ascii="Times New Roman" w:hAnsi="Times New Roman" w:cs="Times New Roman"/>
                <w:sz w:val="20"/>
                <w:szCs w:val="20"/>
                <w:lang w:val="uz-Cyrl-UZ"/>
              </w:rPr>
            </w:pPr>
            <w:r w:rsidRPr="009D7DC4">
              <w:rPr>
                <w:rFonts w:ascii="Times New Roman" w:hAnsi="Times New Roman" w:cs="Times New Roman"/>
                <w:sz w:val="20"/>
                <w:szCs w:val="20"/>
                <w:lang w:val="uz-Cyrl-UZ"/>
              </w:rPr>
              <w:t xml:space="preserve">Сунъий сув оқимлари (очиқ ва ёпиқ каналлар, коллектор-дренаж тармоқлари), сув ҳавзалари (сув омборлари, сел сувлари тўпланадиган жойлар, ҳовузлар ва бошқалар) ҳамда бошқа сунъий сув объектларидан олинадиган сувдан фойдаланиш ва сув истеъмоли қоидаларини бузиш, яъни сувдан хўжасизларча фойдаланиш, сувларнинг ва сув объектларининг ҳолатига таъсир этувчи гидротехника ишларини ва бошқа ишларни ўзбошимчалик билан бажариш, </w:t>
            </w:r>
            <w:r w:rsidR="00BD25FA" w:rsidRPr="00506800">
              <w:rPr>
                <w:rFonts w:ascii="Times New Roman" w:hAnsi="Times New Roman" w:cs="Times New Roman"/>
                <w:b/>
                <w:sz w:val="20"/>
                <w:szCs w:val="20"/>
                <w:lang w:val="uz-Cyrl-UZ"/>
              </w:rPr>
              <w:t>сув олиш жойларини жиҳозламасдан</w:t>
            </w:r>
            <w:r w:rsidR="001C779B" w:rsidRPr="00506800">
              <w:rPr>
                <w:rFonts w:ascii="Times New Roman" w:hAnsi="Times New Roman" w:cs="Times New Roman"/>
                <w:b/>
                <w:sz w:val="20"/>
                <w:szCs w:val="20"/>
                <w:lang w:val="uz-Cyrl-UZ"/>
              </w:rPr>
              <w:t>,</w:t>
            </w:r>
            <w:r w:rsidR="00BD25FA" w:rsidRPr="00506800">
              <w:rPr>
                <w:rFonts w:ascii="Times New Roman" w:hAnsi="Times New Roman" w:cs="Times New Roman"/>
                <w:b/>
                <w:sz w:val="20"/>
                <w:szCs w:val="20"/>
                <w:lang w:val="uz-Cyrl-UZ"/>
              </w:rPr>
              <w:t xml:space="preserve"> шарт</w:t>
            </w:r>
            <w:r w:rsidR="001C779B" w:rsidRPr="00506800">
              <w:rPr>
                <w:rFonts w:ascii="Times New Roman" w:hAnsi="Times New Roman" w:cs="Times New Roman"/>
                <w:b/>
                <w:sz w:val="20"/>
                <w:szCs w:val="20"/>
                <w:lang w:val="uz-Cyrl-UZ"/>
              </w:rPr>
              <w:t>нома</w:t>
            </w:r>
            <w:r w:rsidR="00506800" w:rsidRPr="00506800">
              <w:rPr>
                <w:rFonts w:ascii="Times New Roman" w:hAnsi="Times New Roman" w:cs="Times New Roman"/>
                <w:b/>
                <w:sz w:val="20"/>
                <w:szCs w:val="20"/>
                <w:lang w:val="uz-Cyrl-UZ"/>
              </w:rPr>
              <w:t>сиз</w:t>
            </w:r>
            <w:r w:rsidR="001C779B" w:rsidRPr="00506800">
              <w:rPr>
                <w:rFonts w:ascii="Times New Roman" w:hAnsi="Times New Roman" w:cs="Times New Roman"/>
                <w:b/>
                <w:sz w:val="20"/>
                <w:szCs w:val="20"/>
                <w:lang w:val="uz-Cyrl-UZ"/>
              </w:rPr>
              <w:t xml:space="preserve"> сув ол</w:t>
            </w:r>
            <w:r w:rsidR="00506800" w:rsidRPr="00506800">
              <w:rPr>
                <w:rFonts w:ascii="Times New Roman" w:hAnsi="Times New Roman" w:cs="Times New Roman"/>
                <w:b/>
                <w:sz w:val="20"/>
                <w:szCs w:val="20"/>
                <w:lang w:val="uz-Cyrl-UZ"/>
              </w:rPr>
              <w:t>иш,</w:t>
            </w:r>
            <w:r w:rsidR="00BD25FA" w:rsidRPr="00BD25FA">
              <w:rPr>
                <w:rFonts w:ascii="Times New Roman" w:hAnsi="Times New Roman" w:cs="Times New Roman"/>
                <w:sz w:val="20"/>
                <w:szCs w:val="20"/>
                <w:lang w:val="uz-Cyrl-UZ"/>
              </w:rPr>
              <w:t xml:space="preserve"> </w:t>
            </w:r>
            <w:r w:rsidRPr="009D7DC4">
              <w:rPr>
                <w:rFonts w:ascii="Times New Roman" w:hAnsi="Times New Roman" w:cs="Times New Roman"/>
                <w:sz w:val="20"/>
                <w:szCs w:val="20"/>
                <w:lang w:val="uz-Cyrl-UZ"/>
              </w:rPr>
              <w:t>сув объектларидан белгиланган сув олиш лимитлари, сувдан фойдаланиш ва сув истеъмоли режаларини бузиш —</w:t>
            </w:r>
          </w:p>
          <w:p w:rsidR="009D7DC4" w:rsidRPr="00CC5A0B" w:rsidRDefault="009D7DC4" w:rsidP="009D7DC4">
            <w:pPr>
              <w:shd w:val="clear" w:color="auto" w:fill="FFFFFF"/>
              <w:jc w:val="center"/>
              <w:rPr>
                <w:rFonts w:ascii="Times New Roman" w:hAnsi="Times New Roman" w:cs="Times New Roman"/>
                <w:b/>
                <w:sz w:val="20"/>
                <w:szCs w:val="20"/>
                <w:lang w:val="uz-Cyrl-UZ"/>
              </w:rPr>
            </w:pPr>
            <w:r w:rsidRPr="009D7DC4">
              <w:rPr>
                <w:rFonts w:ascii="Times New Roman" w:hAnsi="Times New Roman" w:cs="Times New Roman"/>
                <w:sz w:val="20"/>
                <w:szCs w:val="20"/>
                <w:lang w:val="uz-Cyrl-UZ"/>
              </w:rPr>
              <w:t>фуқароларга базавий ҳисоблаш миқдорининг бир бараваридан уч бараваригача, мансабдор шахсларга эса — беш бараваридан ўн бараваригача миқдорда жарима солишга сабаб бўлади.</w:t>
            </w:r>
          </w:p>
        </w:tc>
        <w:tc>
          <w:tcPr>
            <w:tcW w:w="3118" w:type="dxa"/>
          </w:tcPr>
          <w:p w:rsidR="00952287" w:rsidRDefault="00952287" w:rsidP="00A26D60">
            <w:pPr>
              <w:shd w:val="clear" w:color="auto" w:fill="FFFFFF"/>
              <w:jc w:val="both"/>
              <w:rPr>
                <w:rFonts w:ascii="Times New Roman" w:hAnsi="Times New Roman" w:cs="Times New Roman"/>
                <w:b/>
                <w:sz w:val="20"/>
                <w:szCs w:val="20"/>
                <w:lang w:val="uz-Cyrl-UZ"/>
              </w:rPr>
            </w:pPr>
          </w:p>
          <w:p w:rsidR="009D7DC4" w:rsidRDefault="009D7DC4" w:rsidP="00A26D60">
            <w:pPr>
              <w:shd w:val="clear" w:color="auto" w:fill="FFFFFF"/>
              <w:jc w:val="both"/>
              <w:rPr>
                <w:rFonts w:ascii="Times New Roman" w:hAnsi="Times New Roman" w:cs="Times New Roman"/>
                <w:sz w:val="20"/>
                <w:szCs w:val="20"/>
                <w:lang w:val="uz-Cyrl-UZ"/>
              </w:rPr>
            </w:pPr>
          </w:p>
          <w:p w:rsidR="009D7DC4" w:rsidRDefault="008D537C" w:rsidP="00D972A8">
            <w:pPr>
              <w:shd w:val="clear" w:color="auto" w:fill="FFFFFF"/>
              <w:jc w:val="both"/>
              <w:rPr>
                <w:rFonts w:ascii="Times New Roman" w:hAnsi="Times New Roman" w:cs="Times New Roman"/>
                <w:sz w:val="20"/>
                <w:szCs w:val="20"/>
                <w:lang w:val="uz-Cyrl-UZ"/>
              </w:rPr>
            </w:pPr>
            <w:r>
              <w:rPr>
                <w:rFonts w:ascii="Times New Roman" w:hAnsi="Times New Roman" w:cs="Times New Roman"/>
                <w:sz w:val="20"/>
                <w:szCs w:val="20"/>
                <w:lang w:val="uz-Cyrl-UZ"/>
              </w:rPr>
              <w:t xml:space="preserve">1. </w:t>
            </w:r>
            <w:r w:rsidR="009D7DC4">
              <w:rPr>
                <w:rFonts w:ascii="Times New Roman" w:hAnsi="Times New Roman" w:cs="Times New Roman"/>
                <w:sz w:val="20"/>
                <w:szCs w:val="20"/>
                <w:lang w:val="uz-Cyrl-UZ"/>
              </w:rPr>
              <w:t xml:space="preserve">Вазирлар Маҳкамасининг </w:t>
            </w:r>
            <w:r w:rsidR="00D972A8">
              <w:rPr>
                <w:rFonts w:ascii="Times New Roman" w:hAnsi="Times New Roman" w:cs="Times New Roman"/>
                <w:sz w:val="20"/>
                <w:szCs w:val="20"/>
                <w:lang w:val="uz-Cyrl-UZ"/>
              </w:rPr>
              <w:t>19.03.2013 йилдаги 82-сонли қарори билан тасдиқланган “</w:t>
            </w:r>
            <w:r w:rsidR="00D972A8" w:rsidRPr="00D972A8">
              <w:rPr>
                <w:rFonts w:ascii="Times New Roman" w:hAnsi="Times New Roman" w:cs="Times New Roman"/>
                <w:sz w:val="20"/>
                <w:szCs w:val="20"/>
                <w:lang w:val="uz-Cyrl-UZ"/>
              </w:rPr>
              <w:t>Ўзбекистон Республикасида сувдан фойдаланиш ва сув истеъмоли тартиби тўғрисида</w:t>
            </w:r>
            <w:r w:rsidR="00D972A8">
              <w:rPr>
                <w:rFonts w:ascii="Times New Roman" w:hAnsi="Times New Roman" w:cs="Times New Roman"/>
                <w:sz w:val="20"/>
                <w:szCs w:val="20"/>
                <w:lang w:val="uz-Cyrl-UZ"/>
              </w:rPr>
              <w:t xml:space="preserve">”ги Низомнинг 60-бандида </w:t>
            </w:r>
            <w:r w:rsidR="009D7DC4" w:rsidRPr="009D7DC4">
              <w:rPr>
                <w:rFonts w:ascii="Times New Roman" w:hAnsi="Times New Roman" w:cs="Times New Roman"/>
                <w:sz w:val="20"/>
                <w:szCs w:val="20"/>
                <w:lang w:val="uz-Cyrl-UZ"/>
              </w:rPr>
              <w:t>сувдан фойдаланувчилар ва сув истеъмолчилари томонидан сув олиш жойларини сувни бошқариш ва ҳисобга олиш воситалари билан жиҳозламасдан сув олиш сув олишга рухсат этилмаган жойлардан, шунингдек, шартнома тузмасдан сув олганлик учун — олинган ҳар минг кубометр сув учун — белгиланган базавий ҳисоблаш миқдорининг 30 фоизи миқдорида</w:t>
            </w:r>
            <w:r>
              <w:rPr>
                <w:rFonts w:ascii="Times New Roman" w:hAnsi="Times New Roman" w:cs="Times New Roman"/>
                <w:sz w:val="20"/>
                <w:szCs w:val="20"/>
                <w:lang w:val="uz-Cyrl-UZ"/>
              </w:rPr>
              <w:t xml:space="preserve"> молиявий жарима санкиялар қўлланилиши белгиланган.</w:t>
            </w:r>
          </w:p>
          <w:p w:rsidR="008D537C" w:rsidRPr="009D7DC4" w:rsidRDefault="008D537C" w:rsidP="00BD25FA">
            <w:pPr>
              <w:shd w:val="clear" w:color="auto" w:fill="FFFFFF"/>
              <w:jc w:val="both"/>
              <w:rPr>
                <w:rFonts w:ascii="Times New Roman" w:hAnsi="Times New Roman" w:cs="Times New Roman"/>
                <w:sz w:val="20"/>
                <w:szCs w:val="20"/>
                <w:lang w:val="uz-Cyrl-UZ"/>
              </w:rPr>
            </w:pPr>
            <w:r w:rsidRPr="00CC5A0B">
              <w:rPr>
                <w:rFonts w:ascii="Times New Roman" w:hAnsi="Times New Roman"/>
                <w:sz w:val="20"/>
                <w:szCs w:val="20"/>
                <w:lang w:val="uz-Cyrl-UZ"/>
              </w:rPr>
              <w:t xml:space="preserve">2. Хозирги кунда ушбу ҳолат бўйича </w:t>
            </w:r>
            <w:r w:rsidR="00E41B54" w:rsidRPr="00E41B54">
              <w:rPr>
                <w:rFonts w:ascii="Times New Roman" w:hAnsi="Times New Roman"/>
                <w:sz w:val="20"/>
                <w:szCs w:val="20"/>
                <w:lang w:val="uz-Cyrl-UZ"/>
              </w:rPr>
              <w:t>сув истеъмолчилари томонидан сув олиш жойларини жиҳозламасдан сув олиш</w:t>
            </w:r>
            <w:r w:rsidR="00977DA4">
              <w:rPr>
                <w:rFonts w:ascii="Times New Roman" w:hAnsi="Times New Roman"/>
                <w:sz w:val="20"/>
                <w:szCs w:val="20"/>
                <w:lang w:val="uz-Cyrl-UZ"/>
              </w:rPr>
              <w:t xml:space="preserve">, </w:t>
            </w:r>
            <w:r w:rsidR="00977DA4" w:rsidRPr="00977DA4">
              <w:rPr>
                <w:rFonts w:ascii="Times New Roman" w:hAnsi="Times New Roman"/>
                <w:sz w:val="20"/>
                <w:szCs w:val="20"/>
                <w:lang w:val="uz-Cyrl-UZ"/>
              </w:rPr>
              <w:t>шунингдек, шартнома тузмасдан сув олганлик учун</w:t>
            </w:r>
            <w:r w:rsidR="00977DA4">
              <w:rPr>
                <w:rFonts w:ascii="Times New Roman" w:hAnsi="Times New Roman"/>
                <w:sz w:val="20"/>
                <w:szCs w:val="20"/>
                <w:lang w:val="uz-Cyrl-UZ"/>
              </w:rPr>
              <w:t xml:space="preserve"> маъмурий ҳуқуқбузарликни содир этганлиги учун жавобгарлик </w:t>
            </w:r>
            <w:r w:rsidR="00BD25FA">
              <w:rPr>
                <w:rFonts w:ascii="Times New Roman" w:hAnsi="Times New Roman"/>
                <w:sz w:val="20"/>
                <w:szCs w:val="20"/>
                <w:lang w:val="uz-Cyrl-UZ"/>
              </w:rPr>
              <w:t>масаласи кўрилмасдан қолмоқда.</w:t>
            </w:r>
          </w:p>
        </w:tc>
      </w:tr>
    </w:tbl>
    <w:p w:rsidR="00CC5A0B" w:rsidRDefault="00CC5A0B" w:rsidP="00CC5A0B">
      <w:pPr>
        <w:spacing w:after="0" w:line="240" w:lineRule="auto"/>
        <w:ind w:firstLine="708"/>
        <w:jc w:val="both"/>
        <w:rPr>
          <w:rFonts w:ascii="Times New Roman" w:eastAsia="Times New Roman" w:hAnsi="Times New Roman" w:cs="Times New Roman"/>
          <w:b/>
          <w:color w:val="000000"/>
          <w:sz w:val="25"/>
          <w:szCs w:val="25"/>
          <w:lang w:val="uz-Cyrl-UZ" w:eastAsia="ru-RU"/>
        </w:rPr>
      </w:pPr>
    </w:p>
    <w:p w:rsidR="00506800" w:rsidRDefault="00506800" w:rsidP="00CC5A0B">
      <w:pPr>
        <w:spacing w:after="0" w:line="240" w:lineRule="auto"/>
        <w:ind w:firstLine="708"/>
        <w:jc w:val="both"/>
        <w:rPr>
          <w:rFonts w:ascii="Times New Roman" w:eastAsia="Times New Roman" w:hAnsi="Times New Roman" w:cs="Times New Roman"/>
          <w:b/>
          <w:color w:val="000000"/>
          <w:sz w:val="25"/>
          <w:szCs w:val="25"/>
          <w:lang w:val="uz-Cyrl-UZ" w:eastAsia="ru-RU"/>
        </w:rPr>
      </w:pPr>
    </w:p>
    <w:p w:rsidR="00CC5A0B" w:rsidRDefault="00CC5A0B" w:rsidP="00CC5A0B">
      <w:pPr>
        <w:spacing w:after="0" w:line="240" w:lineRule="auto"/>
        <w:ind w:firstLine="708"/>
        <w:jc w:val="both"/>
        <w:rPr>
          <w:rFonts w:ascii="Times New Roman" w:eastAsia="Times New Roman" w:hAnsi="Times New Roman" w:cs="Times New Roman"/>
          <w:b/>
          <w:color w:val="000000"/>
          <w:sz w:val="25"/>
          <w:szCs w:val="25"/>
          <w:lang w:val="uz-Cyrl-UZ" w:eastAsia="ru-RU"/>
        </w:rPr>
      </w:pPr>
    </w:p>
    <w:p w:rsidR="00CC5A0B" w:rsidRDefault="00CC5A0B" w:rsidP="00CC5A0B">
      <w:pPr>
        <w:spacing w:after="0" w:line="240" w:lineRule="auto"/>
        <w:ind w:firstLine="708"/>
        <w:jc w:val="both"/>
        <w:rPr>
          <w:rFonts w:ascii="Times New Roman" w:eastAsia="Times New Roman" w:hAnsi="Times New Roman" w:cs="Times New Roman"/>
          <w:b/>
          <w:color w:val="000000"/>
          <w:sz w:val="25"/>
          <w:szCs w:val="25"/>
          <w:lang w:val="uz-Cyrl-UZ" w:eastAsia="ru-RU"/>
        </w:rPr>
      </w:pPr>
    </w:p>
    <w:p w:rsidR="00CC5A0B" w:rsidRDefault="00CC5A0B" w:rsidP="00CC5A0B">
      <w:pPr>
        <w:spacing w:after="0" w:line="240" w:lineRule="auto"/>
        <w:ind w:firstLine="708"/>
        <w:jc w:val="both"/>
        <w:rPr>
          <w:rFonts w:ascii="Times New Roman" w:eastAsia="Times New Roman" w:hAnsi="Times New Roman" w:cs="Times New Roman"/>
          <w:b/>
          <w:color w:val="000000"/>
          <w:sz w:val="25"/>
          <w:szCs w:val="25"/>
          <w:lang w:val="uz-Cyrl-UZ" w:eastAsia="ru-RU"/>
        </w:rPr>
      </w:pPr>
    </w:p>
    <w:p w:rsidR="00CC5A0B" w:rsidRDefault="00CC5A0B" w:rsidP="00CC5A0B">
      <w:pPr>
        <w:spacing w:after="0" w:line="240" w:lineRule="auto"/>
        <w:ind w:firstLine="708"/>
        <w:jc w:val="both"/>
        <w:rPr>
          <w:rFonts w:ascii="Times New Roman" w:eastAsia="Times New Roman" w:hAnsi="Times New Roman" w:cs="Times New Roman"/>
          <w:b/>
          <w:color w:val="000000"/>
          <w:sz w:val="25"/>
          <w:szCs w:val="25"/>
          <w:lang w:val="uz-Cyrl-UZ" w:eastAsia="ru-RU"/>
        </w:rPr>
      </w:pPr>
    </w:p>
    <w:sectPr w:rsidR="00CC5A0B" w:rsidSect="00D17EEE">
      <w:headerReference w:type="default" r:id="rId8"/>
      <w:pgSz w:w="11906" w:h="16838"/>
      <w:pgMar w:top="1134" w:right="567" w:bottom="56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124" w:rsidRDefault="00074124" w:rsidP="001207CF">
      <w:pPr>
        <w:spacing w:after="0" w:line="240" w:lineRule="auto"/>
      </w:pPr>
      <w:r>
        <w:separator/>
      </w:r>
    </w:p>
  </w:endnote>
  <w:endnote w:type="continuationSeparator" w:id="0">
    <w:p w:rsidR="00074124" w:rsidRDefault="00074124" w:rsidP="0012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124" w:rsidRDefault="00074124" w:rsidP="001207CF">
      <w:pPr>
        <w:spacing w:after="0" w:line="240" w:lineRule="auto"/>
      </w:pPr>
      <w:r>
        <w:separator/>
      </w:r>
    </w:p>
  </w:footnote>
  <w:footnote w:type="continuationSeparator" w:id="0">
    <w:p w:rsidR="00074124" w:rsidRDefault="00074124" w:rsidP="001207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828490"/>
      <w:docPartObj>
        <w:docPartGallery w:val="Page Numbers (Top of Page)"/>
        <w:docPartUnique/>
      </w:docPartObj>
    </w:sdtPr>
    <w:sdtEndPr/>
    <w:sdtContent>
      <w:p w:rsidR="001207CF" w:rsidRDefault="001207CF">
        <w:pPr>
          <w:pStyle w:val="a6"/>
          <w:jc w:val="center"/>
        </w:pPr>
        <w:r>
          <w:fldChar w:fldCharType="begin"/>
        </w:r>
        <w:r>
          <w:instrText>PAGE   \* MERGEFORMAT</w:instrText>
        </w:r>
        <w:r>
          <w:fldChar w:fldCharType="separate"/>
        </w:r>
        <w:r w:rsidR="00506800">
          <w:rPr>
            <w:noProof/>
          </w:rPr>
          <w:t>2</w:t>
        </w:r>
        <w:r>
          <w:fldChar w:fldCharType="end"/>
        </w:r>
      </w:p>
    </w:sdtContent>
  </w:sdt>
  <w:p w:rsidR="001207CF" w:rsidRDefault="001207C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A40CE"/>
    <w:multiLevelType w:val="hybridMultilevel"/>
    <w:tmpl w:val="56208468"/>
    <w:lvl w:ilvl="0" w:tplc="66206BF6">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58B"/>
    <w:rsid w:val="000232AD"/>
    <w:rsid w:val="00033649"/>
    <w:rsid w:val="000406A0"/>
    <w:rsid w:val="00052EDF"/>
    <w:rsid w:val="00060B1B"/>
    <w:rsid w:val="00074124"/>
    <w:rsid w:val="00080883"/>
    <w:rsid w:val="00081226"/>
    <w:rsid w:val="00094CDA"/>
    <w:rsid w:val="000A2DC8"/>
    <w:rsid w:val="000B1FA1"/>
    <w:rsid w:val="000C71A4"/>
    <w:rsid w:val="001207CF"/>
    <w:rsid w:val="00124265"/>
    <w:rsid w:val="0015086F"/>
    <w:rsid w:val="0015786A"/>
    <w:rsid w:val="00175EAB"/>
    <w:rsid w:val="00184936"/>
    <w:rsid w:val="00197108"/>
    <w:rsid w:val="001B700D"/>
    <w:rsid w:val="001C779B"/>
    <w:rsid w:val="001D0AF2"/>
    <w:rsid w:val="002244F9"/>
    <w:rsid w:val="00225A6F"/>
    <w:rsid w:val="00240126"/>
    <w:rsid w:val="00265835"/>
    <w:rsid w:val="002809FE"/>
    <w:rsid w:val="002932D2"/>
    <w:rsid w:val="002A2056"/>
    <w:rsid w:val="002D1B4C"/>
    <w:rsid w:val="002D560B"/>
    <w:rsid w:val="002E7A02"/>
    <w:rsid w:val="002F1676"/>
    <w:rsid w:val="003058F1"/>
    <w:rsid w:val="003436C7"/>
    <w:rsid w:val="00352328"/>
    <w:rsid w:val="00396046"/>
    <w:rsid w:val="003D44C8"/>
    <w:rsid w:val="003E6B80"/>
    <w:rsid w:val="00405151"/>
    <w:rsid w:val="0045471B"/>
    <w:rsid w:val="00466E95"/>
    <w:rsid w:val="00471EEB"/>
    <w:rsid w:val="004B12DF"/>
    <w:rsid w:val="004C1358"/>
    <w:rsid w:val="004E3F30"/>
    <w:rsid w:val="00506800"/>
    <w:rsid w:val="00511FC5"/>
    <w:rsid w:val="0051345A"/>
    <w:rsid w:val="00521582"/>
    <w:rsid w:val="005464BA"/>
    <w:rsid w:val="00552386"/>
    <w:rsid w:val="00565FE9"/>
    <w:rsid w:val="0059764B"/>
    <w:rsid w:val="005A5EFB"/>
    <w:rsid w:val="005A76C2"/>
    <w:rsid w:val="005B3181"/>
    <w:rsid w:val="00647EC7"/>
    <w:rsid w:val="00652A93"/>
    <w:rsid w:val="00653EEC"/>
    <w:rsid w:val="00671924"/>
    <w:rsid w:val="006C49D8"/>
    <w:rsid w:val="00704A55"/>
    <w:rsid w:val="00725FDF"/>
    <w:rsid w:val="00736A69"/>
    <w:rsid w:val="007823EB"/>
    <w:rsid w:val="007A19C8"/>
    <w:rsid w:val="007B6078"/>
    <w:rsid w:val="00802CC8"/>
    <w:rsid w:val="00862F37"/>
    <w:rsid w:val="008773CA"/>
    <w:rsid w:val="00880F5B"/>
    <w:rsid w:val="008A4510"/>
    <w:rsid w:val="008D537C"/>
    <w:rsid w:val="008E00CC"/>
    <w:rsid w:val="00915CF0"/>
    <w:rsid w:val="0094637D"/>
    <w:rsid w:val="00952287"/>
    <w:rsid w:val="0097368F"/>
    <w:rsid w:val="00977DA4"/>
    <w:rsid w:val="009A7CC9"/>
    <w:rsid w:val="009B3C0B"/>
    <w:rsid w:val="009D7DC4"/>
    <w:rsid w:val="00A162A4"/>
    <w:rsid w:val="00A5258B"/>
    <w:rsid w:val="00A8267A"/>
    <w:rsid w:val="00A86EC0"/>
    <w:rsid w:val="00A94B89"/>
    <w:rsid w:val="00AA5AC2"/>
    <w:rsid w:val="00AA6500"/>
    <w:rsid w:val="00AB12BE"/>
    <w:rsid w:val="00AC43AB"/>
    <w:rsid w:val="00AD5A0E"/>
    <w:rsid w:val="00AF30AB"/>
    <w:rsid w:val="00AF31E1"/>
    <w:rsid w:val="00B12041"/>
    <w:rsid w:val="00B204F9"/>
    <w:rsid w:val="00B222C4"/>
    <w:rsid w:val="00B3027A"/>
    <w:rsid w:val="00B70FD0"/>
    <w:rsid w:val="00BD25FA"/>
    <w:rsid w:val="00BE0D7A"/>
    <w:rsid w:val="00C0133F"/>
    <w:rsid w:val="00C0682E"/>
    <w:rsid w:val="00C32327"/>
    <w:rsid w:val="00C478CF"/>
    <w:rsid w:val="00C86CFF"/>
    <w:rsid w:val="00C90071"/>
    <w:rsid w:val="00CC3848"/>
    <w:rsid w:val="00CC5A0B"/>
    <w:rsid w:val="00CC7087"/>
    <w:rsid w:val="00CF175D"/>
    <w:rsid w:val="00D17EEE"/>
    <w:rsid w:val="00D47463"/>
    <w:rsid w:val="00D54316"/>
    <w:rsid w:val="00D972A8"/>
    <w:rsid w:val="00DA6D5F"/>
    <w:rsid w:val="00DD2781"/>
    <w:rsid w:val="00DF7472"/>
    <w:rsid w:val="00E25EF5"/>
    <w:rsid w:val="00E41B54"/>
    <w:rsid w:val="00F10EEF"/>
    <w:rsid w:val="00F122DA"/>
    <w:rsid w:val="00F274B5"/>
    <w:rsid w:val="00F353EF"/>
    <w:rsid w:val="00F37BC1"/>
    <w:rsid w:val="00F434E7"/>
    <w:rsid w:val="00F478D1"/>
    <w:rsid w:val="00F94A6F"/>
    <w:rsid w:val="00FD3B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DAD0C-AC21-488B-8E3D-28FDF191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7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semiHidden/>
    <w:unhideWhenUsed/>
    <w:rsid w:val="00175EAB"/>
    <w:rPr>
      <w:color w:val="0000FF"/>
      <w:u w:val="single"/>
    </w:rPr>
  </w:style>
  <w:style w:type="character" w:customStyle="1" w:styleId="clauseprfx1">
    <w:name w:val="clauseprfx1"/>
    <w:basedOn w:val="a0"/>
    <w:rsid w:val="009A7CC9"/>
    <w:rPr>
      <w:vanish w:val="0"/>
      <w:webHidden w:val="0"/>
      <w:specVanish w:val="0"/>
    </w:rPr>
  </w:style>
  <w:style w:type="character" w:customStyle="1" w:styleId="clausesuff1">
    <w:name w:val="clausesuff1"/>
    <w:basedOn w:val="a0"/>
    <w:rsid w:val="009A7CC9"/>
    <w:rPr>
      <w:vanish w:val="0"/>
      <w:webHidden w:val="0"/>
      <w:specVanish w:val="0"/>
    </w:rPr>
  </w:style>
  <w:style w:type="paragraph" w:styleId="a5">
    <w:name w:val="List Paragraph"/>
    <w:basedOn w:val="a"/>
    <w:uiPriority w:val="34"/>
    <w:qFormat/>
    <w:rsid w:val="00AA5AC2"/>
    <w:pPr>
      <w:ind w:left="720"/>
      <w:contextualSpacing/>
    </w:pPr>
  </w:style>
  <w:style w:type="character" w:customStyle="1" w:styleId="clauseprfx">
    <w:name w:val="clauseprfx"/>
    <w:basedOn w:val="a0"/>
    <w:rsid w:val="00BE0D7A"/>
  </w:style>
  <w:style w:type="character" w:customStyle="1" w:styleId="clausesuff">
    <w:name w:val="clausesuff"/>
    <w:basedOn w:val="a0"/>
    <w:rsid w:val="00BE0D7A"/>
  </w:style>
  <w:style w:type="paragraph" w:styleId="a6">
    <w:name w:val="header"/>
    <w:basedOn w:val="a"/>
    <w:link w:val="a7"/>
    <w:uiPriority w:val="99"/>
    <w:unhideWhenUsed/>
    <w:rsid w:val="001207C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207CF"/>
  </w:style>
  <w:style w:type="paragraph" w:styleId="a8">
    <w:name w:val="footer"/>
    <w:basedOn w:val="a"/>
    <w:link w:val="a9"/>
    <w:uiPriority w:val="99"/>
    <w:unhideWhenUsed/>
    <w:rsid w:val="001207C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207CF"/>
  </w:style>
  <w:style w:type="paragraph" w:styleId="aa">
    <w:name w:val="Balloon Text"/>
    <w:basedOn w:val="a"/>
    <w:link w:val="ab"/>
    <w:uiPriority w:val="99"/>
    <w:semiHidden/>
    <w:unhideWhenUsed/>
    <w:rsid w:val="00CC5A0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CC5A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18099">
      <w:bodyDiv w:val="1"/>
      <w:marLeft w:val="0"/>
      <w:marRight w:val="0"/>
      <w:marTop w:val="0"/>
      <w:marBottom w:val="0"/>
      <w:divBdr>
        <w:top w:val="none" w:sz="0" w:space="0" w:color="auto"/>
        <w:left w:val="none" w:sz="0" w:space="0" w:color="auto"/>
        <w:bottom w:val="none" w:sz="0" w:space="0" w:color="auto"/>
        <w:right w:val="none" w:sz="0" w:space="0" w:color="auto"/>
      </w:divBdr>
      <w:divsChild>
        <w:div w:id="1655719941">
          <w:marLeft w:val="0"/>
          <w:marRight w:val="0"/>
          <w:marTop w:val="240"/>
          <w:marBottom w:val="120"/>
          <w:divBdr>
            <w:top w:val="none" w:sz="0" w:space="0" w:color="auto"/>
            <w:left w:val="none" w:sz="0" w:space="0" w:color="auto"/>
            <w:bottom w:val="none" w:sz="0" w:space="0" w:color="auto"/>
            <w:right w:val="none" w:sz="0" w:space="0" w:color="auto"/>
          </w:divBdr>
        </w:div>
      </w:divsChild>
    </w:div>
    <w:div w:id="248662871">
      <w:bodyDiv w:val="1"/>
      <w:marLeft w:val="0"/>
      <w:marRight w:val="0"/>
      <w:marTop w:val="0"/>
      <w:marBottom w:val="0"/>
      <w:divBdr>
        <w:top w:val="none" w:sz="0" w:space="0" w:color="auto"/>
        <w:left w:val="none" w:sz="0" w:space="0" w:color="auto"/>
        <w:bottom w:val="none" w:sz="0" w:space="0" w:color="auto"/>
        <w:right w:val="none" w:sz="0" w:space="0" w:color="auto"/>
      </w:divBdr>
      <w:divsChild>
        <w:div w:id="879629270">
          <w:marLeft w:val="0"/>
          <w:marRight w:val="0"/>
          <w:marTop w:val="0"/>
          <w:marBottom w:val="120"/>
          <w:divBdr>
            <w:top w:val="none" w:sz="0" w:space="0" w:color="auto"/>
            <w:left w:val="none" w:sz="0" w:space="0" w:color="auto"/>
            <w:bottom w:val="none" w:sz="0" w:space="0" w:color="auto"/>
            <w:right w:val="none" w:sz="0" w:space="0" w:color="auto"/>
          </w:divBdr>
        </w:div>
      </w:divsChild>
    </w:div>
    <w:div w:id="545222208">
      <w:bodyDiv w:val="1"/>
      <w:marLeft w:val="0"/>
      <w:marRight w:val="0"/>
      <w:marTop w:val="0"/>
      <w:marBottom w:val="0"/>
      <w:divBdr>
        <w:top w:val="none" w:sz="0" w:space="0" w:color="auto"/>
        <w:left w:val="none" w:sz="0" w:space="0" w:color="auto"/>
        <w:bottom w:val="none" w:sz="0" w:space="0" w:color="auto"/>
        <w:right w:val="none" w:sz="0" w:space="0" w:color="auto"/>
      </w:divBdr>
    </w:div>
    <w:div w:id="559174422">
      <w:bodyDiv w:val="1"/>
      <w:marLeft w:val="0"/>
      <w:marRight w:val="0"/>
      <w:marTop w:val="0"/>
      <w:marBottom w:val="0"/>
      <w:divBdr>
        <w:top w:val="none" w:sz="0" w:space="0" w:color="auto"/>
        <w:left w:val="none" w:sz="0" w:space="0" w:color="auto"/>
        <w:bottom w:val="none" w:sz="0" w:space="0" w:color="auto"/>
        <w:right w:val="none" w:sz="0" w:space="0" w:color="auto"/>
      </w:divBdr>
      <w:divsChild>
        <w:div w:id="2140146056">
          <w:marLeft w:val="0"/>
          <w:marRight w:val="0"/>
          <w:marTop w:val="240"/>
          <w:marBottom w:val="120"/>
          <w:divBdr>
            <w:top w:val="none" w:sz="0" w:space="0" w:color="auto"/>
            <w:left w:val="none" w:sz="0" w:space="0" w:color="auto"/>
            <w:bottom w:val="none" w:sz="0" w:space="0" w:color="auto"/>
            <w:right w:val="none" w:sz="0" w:space="0" w:color="auto"/>
          </w:divBdr>
        </w:div>
      </w:divsChild>
    </w:div>
    <w:div w:id="794063996">
      <w:bodyDiv w:val="1"/>
      <w:marLeft w:val="0"/>
      <w:marRight w:val="0"/>
      <w:marTop w:val="0"/>
      <w:marBottom w:val="0"/>
      <w:divBdr>
        <w:top w:val="none" w:sz="0" w:space="0" w:color="auto"/>
        <w:left w:val="none" w:sz="0" w:space="0" w:color="auto"/>
        <w:bottom w:val="none" w:sz="0" w:space="0" w:color="auto"/>
        <w:right w:val="none" w:sz="0" w:space="0" w:color="auto"/>
      </w:divBdr>
      <w:divsChild>
        <w:div w:id="1845125376">
          <w:marLeft w:val="0"/>
          <w:marRight w:val="0"/>
          <w:marTop w:val="60"/>
          <w:marBottom w:val="60"/>
          <w:divBdr>
            <w:top w:val="none" w:sz="0" w:space="0" w:color="auto"/>
            <w:left w:val="none" w:sz="0" w:space="0" w:color="auto"/>
            <w:bottom w:val="none" w:sz="0" w:space="0" w:color="auto"/>
            <w:right w:val="none" w:sz="0" w:space="0" w:color="auto"/>
          </w:divBdr>
        </w:div>
        <w:div w:id="1541742932">
          <w:marLeft w:val="0"/>
          <w:marRight w:val="0"/>
          <w:marTop w:val="60"/>
          <w:marBottom w:val="60"/>
          <w:divBdr>
            <w:top w:val="none" w:sz="0" w:space="0" w:color="auto"/>
            <w:left w:val="none" w:sz="0" w:space="0" w:color="auto"/>
            <w:bottom w:val="none" w:sz="0" w:space="0" w:color="auto"/>
            <w:right w:val="none" w:sz="0" w:space="0" w:color="auto"/>
          </w:divBdr>
        </w:div>
      </w:divsChild>
    </w:div>
    <w:div w:id="794979393">
      <w:bodyDiv w:val="1"/>
      <w:marLeft w:val="0"/>
      <w:marRight w:val="0"/>
      <w:marTop w:val="0"/>
      <w:marBottom w:val="0"/>
      <w:divBdr>
        <w:top w:val="none" w:sz="0" w:space="0" w:color="auto"/>
        <w:left w:val="none" w:sz="0" w:space="0" w:color="auto"/>
        <w:bottom w:val="none" w:sz="0" w:space="0" w:color="auto"/>
        <w:right w:val="none" w:sz="0" w:space="0" w:color="auto"/>
      </w:divBdr>
      <w:divsChild>
        <w:div w:id="795878639">
          <w:marLeft w:val="0"/>
          <w:marRight w:val="0"/>
          <w:marTop w:val="240"/>
          <w:marBottom w:val="120"/>
          <w:divBdr>
            <w:top w:val="none" w:sz="0" w:space="0" w:color="auto"/>
            <w:left w:val="none" w:sz="0" w:space="0" w:color="auto"/>
            <w:bottom w:val="none" w:sz="0" w:space="0" w:color="auto"/>
            <w:right w:val="none" w:sz="0" w:space="0" w:color="auto"/>
          </w:divBdr>
        </w:div>
        <w:div w:id="2073504650">
          <w:marLeft w:val="0"/>
          <w:marRight w:val="0"/>
          <w:marTop w:val="120"/>
          <w:marBottom w:val="120"/>
          <w:divBdr>
            <w:top w:val="none" w:sz="0" w:space="0" w:color="auto"/>
            <w:left w:val="none" w:sz="0" w:space="0" w:color="auto"/>
            <w:bottom w:val="none" w:sz="0" w:space="0" w:color="auto"/>
            <w:right w:val="none" w:sz="0" w:space="0" w:color="auto"/>
          </w:divBdr>
        </w:div>
        <w:div w:id="1906717509">
          <w:marLeft w:val="0"/>
          <w:marRight w:val="8851"/>
          <w:marTop w:val="0"/>
          <w:marBottom w:val="0"/>
          <w:divBdr>
            <w:top w:val="none" w:sz="0" w:space="0" w:color="auto"/>
            <w:left w:val="none" w:sz="0" w:space="0" w:color="auto"/>
            <w:bottom w:val="none" w:sz="0" w:space="0" w:color="auto"/>
            <w:right w:val="none" w:sz="0" w:space="0" w:color="auto"/>
          </w:divBdr>
        </w:div>
        <w:div w:id="106854013">
          <w:marLeft w:val="0"/>
          <w:marRight w:val="8851"/>
          <w:marTop w:val="0"/>
          <w:marBottom w:val="0"/>
          <w:divBdr>
            <w:top w:val="none" w:sz="0" w:space="0" w:color="auto"/>
            <w:left w:val="none" w:sz="0" w:space="0" w:color="auto"/>
            <w:bottom w:val="none" w:sz="0" w:space="0" w:color="auto"/>
            <w:right w:val="none" w:sz="0" w:space="0" w:color="auto"/>
          </w:divBdr>
        </w:div>
        <w:div w:id="1194735513">
          <w:marLeft w:val="0"/>
          <w:marRight w:val="8851"/>
          <w:marTop w:val="0"/>
          <w:marBottom w:val="0"/>
          <w:divBdr>
            <w:top w:val="none" w:sz="0" w:space="0" w:color="auto"/>
            <w:left w:val="none" w:sz="0" w:space="0" w:color="auto"/>
            <w:bottom w:val="none" w:sz="0" w:space="0" w:color="auto"/>
            <w:right w:val="none" w:sz="0" w:space="0" w:color="auto"/>
          </w:divBdr>
        </w:div>
        <w:div w:id="1873305151">
          <w:marLeft w:val="8346"/>
          <w:marRight w:val="0"/>
          <w:marTop w:val="200"/>
          <w:marBottom w:val="240"/>
          <w:divBdr>
            <w:top w:val="none" w:sz="0" w:space="0" w:color="auto"/>
            <w:left w:val="none" w:sz="0" w:space="0" w:color="auto"/>
            <w:bottom w:val="none" w:sz="0" w:space="0" w:color="auto"/>
            <w:right w:val="none" w:sz="0" w:space="0" w:color="auto"/>
          </w:divBdr>
        </w:div>
        <w:div w:id="1292205890">
          <w:marLeft w:val="0"/>
          <w:marRight w:val="0"/>
          <w:marTop w:val="0"/>
          <w:marBottom w:val="120"/>
          <w:divBdr>
            <w:top w:val="none" w:sz="0" w:space="0" w:color="auto"/>
            <w:left w:val="none" w:sz="0" w:space="0" w:color="auto"/>
            <w:bottom w:val="none" w:sz="0" w:space="0" w:color="auto"/>
            <w:right w:val="none" w:sz="0" w:space="0" w:color="auto"/>
          </w:divBdr>
        </w:div>
        <w:div w:id="786512588">
          <w:marLeft w:val="0"/>
          <w:marRight w:val="0"/>
          <w:marTop w:val="120"/>
          <w:marBottom w:val="60"/>
          <w:divBdr>
            <w:top w:val="none" w:sz="0" w:space="0" w:color="auto"/>
            <w:left w:val="none" w:sz="0" w:space="0" w:color="auto"/>
            <w:bottom w:val="none" w:sz="0" w:space="0" w:color="auto"/>
            <w:right w:val="none" w:sz="0" w:space="0" w:color="auto"/>
          </w:divBdr>
        </w:div>
      </w:divsChild>
    </w:div>
    <w:div w:id="928079389">
      <w:bodyDiv w:val="1"/>
      <w:marLeft w:val="0"/>
      <w:marRight w:val="0"/>
      <w:marTop w:val="0"/>
      <w:marBottom w:val="0"/>
      <w:divBdr>
        <w:top w:val="none" w:sz="0" w:space="0" w:color="auto"/>
        <w:left w:val="none" w:sz="0" w:space="0" w:color="auto"/>
        <w:bottom w:val="none" w:sz="0" w:space="0" w:color="auto"/>
        <w:right w:val="none" w:sz="0" w:space="0" w:color="auto"/>
      </w:divBdr>
      <w:divsChild>
        <w:div w:id="344479284">
          <w:marLeft w:val="0"/>
          <w:marRight w:val="8851"/>
          <w:marTop w:val="0"/>
          <w:marBottom w:val="0"/>
          <w:divBdr>
            <w:top w:val="none" w:sz="0" w:space="0" w:color="auto"/>
            <w:left w:val="none" w:sz="0" w:space="0" w:color="auto"/>
            <w:bottom w:val="none" w:sz="0" w:space="0" w:color="auto"/>
            <w:right w:val="none" w:sz="0" w:space="0" w:color="auto"/>
          </w:divBdr>
        </w:div>
        <w:div w:id="574050985">
          <w:marLeft w:val="0"/>
          <w:marRight w:val="8851"/>
          <w:marTop w:val="0"/>
          <w:marBottom w:val="0"/>
          <w:divBdr>
            <w:top w:val="none" w:sz="0" w:space="0" w:color="auto"/>
            <w:left w:val="none" w:sz="0" w:space="0" w:color="auto"/>
            <w:bottom w:val="none" w:sz="0" w:space="0" w:color="auto"/>
            <w:right w:val="none" w:sz="0" w:space="0" w:color="auto"/>
          </w:divBdr>
        </w:div>
        <w:div w:id="1239632058">
          <w:marLeft w:val="0"/>
          <w:marRight w:val="8851"/>
          <w:marTop w:val="0"/>
          <w:marBottom w:val="0"/>
          <w:divBdr>
            <w:top w:val="none" w:sz="0" w:space="0" w:color="auto"/>
            <w:left w:val="none" w:sz="0" w:space="0" w:color="auto"/>
            <w:bottom w:val="none" w:sz="0" w:space="0" w:color="auto"/>
            <w:right w:val="none" w:sz="0" w:space="0" w:color="auto"/>
          </w:divBdr>
        </w:div>
      </w:divsChild>
    </w:div>
    <w:div w:id="932469887">
      <w:bodyDiv w:val="1"/>
      <w:marLeft w:val="0"/>
      <w:marRight w:val="0"/>
      <w:marTop w:val="0"/>
      <w:marBottom w:val="0"/>
      <w:divBdr>
        <w:top w:val="none" w:sz="0" w:space="0" w:color="auto"/>
        <w:left w:val="none" w:sz="0" w:space="0" w:color="auto"/>
        <w:bottom w:val="none" w:sz="0" w:space="0" w:color="auto"/>
        <w:right w:val="none" w:sz="0" w:space="0" w:color="auto"/>
      </w:divBdr>
      <w:divsChild>
        <w:div w:id="586578496">
          <w:marLeft w:val="0"/>
          <w:marRight w:val="0"/>
          <w:marTop w:val="240"/>
          <w:marBottom w:val="120"/>
          <w:divBdr>
            <w:top w:val="none" w:sz="0" w:space="0" w:color="auto"/>
            <w:left w:val="none" w:sz="0" w:space="0" w:color="auto"/>
            <w:bottom w:val="none" w:sz="0" w:space="0" w:color="auto"/>
            <w:right w:val="none" w:sz="0" w:space="0" w:color="auto"/>
          </w:divBdr>
        </w:div>
        <w:div w:id="524056015">
          <w:marLeft w:val="0"/>
          <w:marRight w:val="0"/>
          <w:marTop w:val="0"/>
          <w:marBottom w:val="120"/>
          <w:divBdr>
            <w:top w:val="none" w:sz="0" w:space="0" w:color="auto"/>
            <w:left w:val="none" w:sz="0" w:space="0" w:color="auto"/>
            <w:bottom w:val="none" w:sz="0" w:space="0" w:color="auto"/>
            <w:right w:val="none" w:sz="0" w:space="0" w:color="auto"/>
          </w:divBdr>
        </w:div>
      </w:divsChild>
    </w:div>
    <w:div w:id="1066420414">
      <w:bodyDiv w:val="1"/>
      <w:marLeft w:val="0"/>
      <w:marRight w:val="0"/>
      <w:marTop w:val="0"/>
      <w:marBottom w:val="0"/>
      <w:divBdr>
        <w:top w:val="none" w:sz="0" w:space="0" w:color="auto"/>
        <w:left w:val="none" w:sz="0" w:space="0" w:color="auto"/>
        <w:bottom w:val="none" w:sz="0" w:space="0" w:color="auto"/>
        <w:right w:val="none" w:sz="0" w:space="0" w:color="auto"/>
      </w:divBdr>
    </w:div>
    <w:div w:id="1274748413">
      <w:bodyDiv w:val="1"/>
      <w:marLeft w:val="0"/>
      <w:marRight w:val="0"/>
      <w:marTop w:val="0"/>
      <w:marBottom w:val="0"/>
      <w:divBdr>
        <w:top w:val="none" w:sz="0" w:space="0" w:color="auto"/>
        <w:left w:val="none" w:sz="0" w:space="0" w:color="auto"/>
        <w:bottom w:val="none" w:sz="0" w:space="0" w:color="auto"/>
        <w:right w:val="none" w:sz="0" w:space="0" w:color="auto"/>
      </w:divBdr>
    </w:div>
    <w:div w:id="1671250751">
      <w:bodyDiv w:val="1"/>
      <w:marLeft w:val="0"/>
      <w:marRight w:val="0"/>
      <w:marTop w:val="0"/>
      <w:marBottom w:val="0"/>
      <w:divBdr>
        <w:top w:val="none" w:sz="0" w:space="0" w:color="auto"/>
        <w:left w:val="none" w:sz="0" w:space="0" w:color="auto"/>
        <w:bottom w:val="none" w:sz="0" w:space="0" w:color="auto"/>
        <w:right w:val="none" w:sz="0" w:space="0" w:color="auto"/>
      </w:divBdr>
      <w:divsChild>
        <w:div w:id="312490267">
          <w:marLeft w:val="0"/>
          <w:marRight w:val="0"/>
          <w:marTop w:val="240"/>
          <w:marBottom w:val="120"/>
          <w:divBdr>
            <w:top w:val="none" w:sz="0" w:space="0" w:color="auto"/>
            <w:left w:val="none" w:sz="0" w:space="0" w:color="auto"/>
            <w:bottom w:val="none" w:sz="0" w:space="0" w:color="auto"/>
            <w:right w:val="none" w:sz="0" w:space="0" w:color="auto"/>
          </w:divBdr>
        </w:div>
        <w:div w:id="1564751615">
          <w:marLeft w:val="0"/>
          <w:marRight w:val="0"/>
          <w:marTop w:val="60"/>
          <w:marBottom w:val="60"/>
          <w:divBdr>
            <w:top w:val="none" w:sz="0" w:space="0" w:color="auto"/>
            <w:left w:val="none" w:sz="0" w:space="0" w:color="auto"/>
            <w:bottom w:val="none" w:sz="0" w:space="0" w:color="auto"/>
            <w:right w:val="none" w:sz="0" w:space="0" w:color="auto"/>
          </w:divBdr>
        </w:div>
        <w:div w:id="1770153002">
          <w:marLeft w:val="0"/>
          <w:marRight w:val="0"/>
          <w:marTop w:val="60"/>
          <w:marBottom w:val="60"/>
          <w:divBdr>
            <w:top w:val="none" w:sz="0" w:space="0" w:color="auto"/>
            <w:left w:val="none" w:sz="0" w:space="0" w:color="auto"/>
            <w:bottom w:val="none" w:sz="0" w:space="0" w:color="auto"/>
            <w:right w:val="none" w:sz="0" w:space="0" w:color="auto"/>
          </w:divBdr>
        </w:div>
        <w:div w:id="1089471727">
          <w:marLeft w:val="0"/>
          <w:marRight w:val="0"/>
          <w:marTop w:val="120"/>
          <w:marBottom w:val="120"/>
          <w:divBdr>
            <w:top w:val="none" w:sz="0" w:space="0" w:color="auto"/>
            <w:left w:val="none" w:sz="0" w:space="0" w:color="auto"/>
            <w:bottom w:val="none" w:sz="0" w:space="0" w:color="auto"/>
            <w:right w:val="none" w:sz="0" w:space="0" w:color="auto"/>
          </w:divBdr>
        </w:div>
        <w:div w:id="1571772145">
          <w:marLeft w:val="0"/>
          <w:marRight w:val="8851"/>
          <w:marTop w:val="0"/>
          <w:marBottom w:val="0"/>
          <w:divBdr>
            <w:top w:val="none" w:sz="0" w:space="0" w:color="auto"/>
            <w:left w:val="none" w:sz="0" w:space="0" w:color="auto"/>
            <w:bottom w:val="none" w:sz="0" w:space="0" w:color="auto"/>
            <w:right w:val="none" w:sz="0" w:space="0" w:color="auto"/>
          </w:divBdr>
        </w:div>
        <w:div w:id="1791895202">
          <w:marLeft w:val="0"/>
          <w:marRight w:val="8851"/>
          <w:marTop w:val="0"/>
          <w:marBottom w:val="0"/>
          <w:divBdr>
            <w:top w:val="none" w:sz="0" w:space="0" w:color="auto"/>
            <w:left w:val="none" w:sz="0" w:space="0" w:color="auto"/>
            <w:bottom w:val="none" w:sz="0" w:space="0" w:color="auto"/>
            <w:right w:val="none" w:sz="0" w:space="0" w:color="auto"/>
          </w:divBdr>
        </w:div>
        <w:div w:id="366413350">
          <w:marLeft w:val="0"/>
          <w:marRight w:val="8851"/>
          <w:marTop w:val="0"/>
          <w:marBottom w:val="0"/>
          <w:divBdr>
            <w:top w:val="none" w:sz="0" w:space="0" w:color="auto"/>
            <w:left w:val="none" w:sz="0" w:space="0" w:color="auto"/>
            <w:bottom w:val="none" w:sz="0" w:space="0" w:color="auto"/>
            <w:right w:val="none" w:sz="0" w:space="0" w:color="auto"/>
          </w:divBdr>
        </w:div>
      </w:divsChild>
    </w:div>
    <w:div w:id="1762531070">
      <w:bodyDiv w:val="1"/>
      <w:marLeft w:val="0"/>
      <w:marRight w:val="0"/>
      <w:marTop w:val="0"/>
      <w:marBottom w:val="0"/>
      <w:divBdr>
        <w:top w:val="none" w:sz="0" w:space="0" w:color="auto"/>
        <w:left w:val="none" w:sz="0" w:space="0" w:color="auto"/>
        <w:bottom w:val="none" w:sz="0" w:space="0" w:color="auto"/>
        <w:right w:val="none" w:sz="0" w:space="0" w:color="auto"/>
      </w:divBdr>
      <w:divsChild>
        <w:div w:id="1891764960">
          <w:marLeft w:val="8346"/>
          <w:marRight w:val="0"/>
          <w:marTop w:val="200"/>
          <w:marBottom w:val="240"/>
          <w:divBdr>
            <w:top w:val="none" w:sz="0" w:space="0" w:color="auto"/>
            <w:left w:val="none" w:sz="0" w:space="0" w:color="auto"/>
            <w:bottom w:val="none" w:sz="0" w:space="0" w:color="auto"/>
            <w:right w:val="none" w:sz="0" w:space="0" w:color="auto"/>
          </w:divBdr>
        </w:div>
        <w:div w:id="858932967">
          <w:marLeft w:val="0"/>
          <w:marRight w:val="0"/>
          <w:marTop w:val="0"/>
          <w:marBottom w:val="120"/>
          <w:divBdr>
            <w:top w:val="none" w:sz="0" w:space="0" w:color="auto"/>
            <w:left w:val="none" w:sz="0" w:space="0" w:color="auto"/>
            <w:bottom w:val="none" w:sz="0" w:space="0" w:color="auto"/>
            <w:right w:val="none" w:sz="0" w:space="0" w:color="auto"/>
          </w:divBdr>
        </w:div>
        <w:div w:id="998460047">
          <w:marLeft w:val="0"/>
          <w:marRight w:val="0"/>
          <w:marTop w:val="120"/>
          <w:marBottom w:val="60"/>
          <w:divBdr>
            <w:top w:val="none" w:sz="0" w:space="0" w:color="auto"/>
            <w:left w:val="none" w:sz="0" w:space="0" w:color="auto"/>
            <w:bottom w:val="none" w:sz="0" w:space="0" w:color="auto"/>
            <w:right w:val="none" w:sz="0" w:space="0" w:color="auto"/>
          </w:divBdr>
        </w:div>
        <w:div w:id="1610116552">
          <w:marLeft w:val="0"/>
          <w:marRight w:val="0"/>
          <w:marTop w:val="60"/>
          <w:marBottom w:val="60"/>
          <w:divBdr>
            <w:top w:val="none" w:sz="0" w:space="0" w:color="auto"/>
            <w:left w:val="none" w:sz="0" w:space="0" w:color="auto"/>
            <w:bottom w:val="none" w:sz="0" w:space="0" w:color="auto"/>
            <w:right w:val="none" w:sz="0" w:space="0" w:color="auto"/>
          </w:divBdr>
        </w:div>
        <w:div w:id="994797707">
          <w:marLeft w:val="0"/>
          <w:marRight w:val="0"/>
          <w:marTop w:val="60"/>
          <w:marBottom w:val="60"/>
          <w:divBdr>
            <w:top w:val="none" w:sz="0" w:space="0" w:color="auto"/>
            <w:left w:val="none" w:sz="0" w:space="0" w:color="auto"/>
            <w:bottom w:val="none" w:sz="0" w:space="0" w:color="auto"/>
            <w:right w:val="none" w:sz="0" w:space="0" w:color="auto"/>
          </w:divBdr>
        </w:div>
        <w:div w:id="1093354962">
          <w:marLeft w:val="0"/>
          <w:marRight w:val="0"/>
          <w:marTop w:val="60"/>
          <w:marBottom w:val="60"/>
          <w:divBdr>
            <w:top w:val="none" w:sz="0" w:space="0" w:color="auto"/>
            <w:left w:val="none" w:sz="0" w:space="0" w:color="auto"/>
            <w:bottom w:val="none" w:sz="0" w:space="0" w:color="auto"/>
            <w:right w:val="none" w:sz="0" w:space="0" w:color="auto"/>
          </w:divBdr>
        </w:div>
        <w:div w:id="831677870">
          <w:marLeft w:val="0"/>
          <w:marRight w:val="0"/>
          <w:marTop w:val="60"/>
          <w:marBottom w:val="60"/>
          <w:divBdr>
            <w:top w:val="none" w:sz="0" w:space="0" w:color="auto"/>
            <w:left w:val="none" w:sz="0" w:space="0" w:color="auto"/>
            <w:bottom w:val="none" w:sz="0" w:space="0" w:color="auto"/>
            <w:right w:val="none" w:sz="0" w:space="0" w:color="auto"/>
          </w:divBdr>
        </w:div>
      </w:divsChild>
    </w:div>
    <w:div w:id="1789666424">
      <w:bodyDiv w:val="1"/>
      <w:marLeft w:val="0"/>
      <w:marRight w:val="0"/>
      <w:marTop w:val="0"/>
      <w:marBottom w:val="0"/>
      <w:divBdr>
        <w:top w:val="none" w:sz="0" w:space="0" w:color="auto"/>
        <w:left w:val="none" w:sz="0" w:space="0" w:color="auto"/>
        <w:bottom w:val="none" w:sz="0" w:space="0" w:color="auto"/>
        <w:right w:val="none" w:sz="0" w:space="0" w:color="auto"/>
      </w:divBdr>
      <w:divsChild>
        <w:div w:id="587077080">
          <w:marLeft w:val="0"/>
          <w:marRight w:val="8851"/>
          <w:marTop w:val="0"/>
          <w:marBottom w:val="0"/>
          <w:divBdr>
            <w:top w:val="none" w:sz="0" w:space="0" w:color="auto"/>
            <w:left w:val="none" w:sz="0" w:space="0" w:color="auto"/>
            <w:bottom w:val="none" w:sz="0" w:space="0" w:color="auto"/>
            <w:right w:val="none" w:sz="0" w:space="0" w:color="auto"/>
          </w:divBdr>
        </w:div>
        <w:div w:id="134221818">
          <w:marLeft w:val="0"/>
          <w:marRight w:val="8851"/>
          <w:marTop w:val="0"/>
          <w:marBottom w:val="0"/>
          <w:divBdr>
            <w:top w:val="none" w:sz="0" w:space="0" w:color="auto"/>
            <w:left w:val="none" w:sz="0" w:space="0" w:color="auto"/>
            <w:bottom w:val="none" w:sz="0" w:space="0" w:color="auto"/>
            <w:right w:val="none" w:sz="0" w:space="0" w:color="auto"/>
          </w:divBdr>
        </w:div>
        <w:div w:id="1730497354">
          <w:marLeft w:val="0"/>
          <w:marRight w:val="8851"/>
          <w:marTop w:val="0"/>
          <w:marBottom w:val="0"/>
          <w:divBdr>
            <w:top w:val="none" w:sz="0" w:space="0" w:color="auto"/>
            <w:left w:val="none" w:sz="0" w:space="0" w:color="auto"/>
            <w:bottom w:val="none" w:sz="0" w:space="0" w:color="auto"/>
            <w:right w:val="none" w:sz="0" w:space="0" w:color="auto"/>
          </w:divBdr>
        </w:div>
      </w:divsChild>
    </w:div>
    <w:div w:id="1818718974">
      <w:bodyDiv w:val="1"/>
      <w:marLeft w:val="0"/>
      <w:marRight w:val="0"/>
      <w:marTop w:val="0"/>
      <w:marBottom w:val="0"/>
      <w:divBdr>
        <w:top w:val="none" w:sz="0" w:space="0" w:color="auto"/>
        <w:left w:val="none" w:sz="0" w:space="0" w:color="auto"/>
        <w:bottom w:val="none" w:sz="0" w:space="0" w:color="auto"/>
        <w:right w:val="none" w:sz="0" w:space="0" w:color="auto"/>
      </w:divBdr>
      <w:divsChild>
        <w:div w:id="224686058">
          <w:marLeft w:val="0"/>
          <w:marRight w:val="8851"/>
          <w:marTop w:val="0"/>
          <w:marBottom w:val="0"/>
          <w:divBdr>
            <w:top w:val="none" w:sz="0" w:space="0" w:color="auto"/>
            <w:left w:val="none" w:sz="0" w:space="0" w:color="auto"/>
            <w:bottom w:val="none" w:sz="0" w:space="0" w:color="auto"/>
            <w:right w:val="none" w:sz="0" w:space="0" w:color="auto"/>
          </w:divBdr>
        </w:div>
        <w:div w:id="313490470">
          <w:marLeft w:val="0"/>
          <w:marRight w:val="8851"/>
          <w:marTop w:val="0"/>
          <w:marBottom w:val="0"/>
          <w:divBdr>
            <w:top w:val="none" w:sz="0" w:space="0" w:color="auto"/>
            <w:left w:val="none" w:sz="0" w:space="0" w:color="auto"/>
            <w:bottom w:val="none" w:sz="0" w:space="0" w:color="auto"/>
            <w:right w:val="none" w:sz="0" w:space="0" w:color="auto"/>
          </w:divBdr>
        </w:div>
      </w:divsChild>
    </w:div>
    <w:div w:id="1971131021">
      <w:bodyDiv w:val="1"/>
      <w:marLeft w:val="0"/>
      <w:marRight w:val="0"/>
      <w:marTop w:val="0"/>
      <w:marBottom w:val="0"/>
      <w:divBdr>
        <w:top w:val="none" w:sz="0" w:space="0" w:color="auto"/>
        <w:left w:val="none" w:sz="0" w:space="0" w:color="auto"/>
        <w:bottom w:val="none" w:sz="0" w:space="0" w:color="auto"/>
        <w:right w:val="none" w:sz="0" w:space="0" w:color="auto"/>
      </w:divBdr>
      <w:divsChild>
        <w:div w:id="1587299720">
          <w:marLeft w:val="0"/>
          <w:marRight w:val="0"/>
          <w:marTop w:val="120"/>
          <w:marBottom w:val="60"/>
          <w:divBdr>
            <w:top w:val="none" w:sz="0" w:space="0" w:color="auto"/>
            <w:left w:val="none" w:sz="0" w:space="0" w:color="auto"/>
            <w:bottom w:val="none" w:sz="0" w:space="0" w:color="auto"/>
            <w:right w:val="none" w:sz="0" w:space="0" w:color="auto"/>
          </w:divBdr>
        </w:div>
        <w:div w:id="195118074">
          <w:marLeft w:val="0"/>
          <w:marRight w:val="0"/>
          <w:marTop w:val="60"/>
          <w:marBottom w:val="60"/>
          <w:divBdr>
            <w:top w:val="none" w:sz="0" w:space="0" w:color="auto"/>
            <w:left w:val="none" w:sz="0" w:space="0" w:color="auto"/>
            <w:bottom w:val="none" w:sz="0" w:space="0" w:color="auto"/>
            <w:right w:val="none" w:sz="0" w:space="0" w:color="auto"/>
          </w:divBdr>
        </w:div>
      </w:divsChild>
    </w:div>
    <w:div w:id="198685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6B190-7134-4175-BD36-BF1233B34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Baxrom Yusupov</dc:creator>
  <cp:keywords/>
  <dc:description/>
  <cp:lastModifiedBy>Валижон Хасанов</cp:lastModifiedBy>
  <cp:revision>2</cp:revision>
  <cp:lastPrinted>2020-06-09T12:43:00Z</cp:lastPrinted>
  <dcterms:created xsi:type="dcterms:W3CDTF">2021-01-25T08:37:00Z</dcterms:created>
  <dcterms:modified xsi:type="dcterms:W3CDTF">2021-01-25T08:37:00Z</dcterms:modified>
</cp:coreProperties>
</file>