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Pr="00D4517E" w:rsidRDefault="00E83144" w:rsidP="00E83144">
      <w:pPr>
        <w:spacing w:after="0" w:line="240" w:lineRule="auto"/>
        <w:jc w:val="center"/>
        <w:rPr>
          <w:rFonts w:ascii="Cambria" w:hAnsi="Cambria" w:cs="Arial"/>
          <w:b/>
          <w:sz w:val="28"/>
          <w:szCs w:val="28"/>
          <w:lang w:val="ru-RU"/>
        </w:rPr>
      </w:pPr>
      <w:r w:rsidRPr="00D4517E">
        <w:rPr>
          <w:rFonts w:ascii="Cambria" w:hAnsi="Cambria" w:cs="Arial"/>
          <w:b/>
          <w:sz w:val="28"/>
          <w:szCs w:val="28"/>
          <w:lang w:val="uz-Cyrl-UZ"/>
        </w:rPr>
        <w:t xml:space="preserve">Аҳоли саломатлигини мустаҳкамлаш борасида олиб борилаётган </w:t>
      </w:r>
    </w:p>
    <w:p w:rsidR="00E83144" w:rsidRPr="00D4517E" w:rsidRDefault="00E83144" w:rsidP="00E83144">
      <w:pPr>
        <w:spacing w:after="0" w:line="240" w:lineRule="auto"/>
        <w:jc w:val="center"/>
        <w:rPr>
          <w:rFonts w:ascii="Cambria" w:hAnsi="Cambria" w:cs="Arial"/>
          <w:b/>
          <w:sz w:val="28"/>
          <w:szCs w:val="28"/>
          <w:lang w:val="uz-Cyrl-UZ"/>
        </w:rPr>
      </w:pPr>
      <w:r w:rsidRPr="00D4517E">
        <w:rPr>
          <w:rFonts w:ascii="Cambria" w:hAnsi="Cambria" w:cs="Arial"/>
          <w:b/>
          <w:sz w:val="28"/>
          <w:szCs w:val="28"/>
          <w:lang w:val="uz-Cyrl-UZ"/>
        </w:rPr>
        <w:t>ишларнинг ҳолатини ўрганиш юзасидан</w:t>
      </w:r>
    </w:p>
    <w:p w:rsidR="00E83144" w:rsidRPr="00D4517E" w:rsidRDefault="00E83144" w:rsidP="00E83144">
      <w:pPr>
        <w:spacing w:after="0" w:line="240" w:lineRule="auto"/>
        <w:jc w:val="center"/>
        <w:rPr>
          <w:rFonts w:ascii="Cambria" w:hAnsi="Cambria" w:cs="Arial"/>
          <w:b/>
          <w:sz w:val="28"/>
          <w:szCs w:val="28"/>
          <w:lang w:val="uz-Cyrl-UZ"/>
        </w:rPr>
      </w:pPr>
      <w:r w:rsidRPr="00D4517E">
        <w:rPr>
          <w:rFonts w:ascii="Cambria" w:hAnsi="Cambria" w:cs="Arial"/>
          <w:b/>
          <w:sz w:val="28"/>
          <w:szCs w:val="28"/>
          <w:lang w:val="uz-Cyrl-UZ"/>
        </w:rPr>
        <w:t>САВОЛНОМА</w:t>
      </w:r>
      <w:r>
        <w:rPr>
          <w:rFonts w:ascii="Cambria" w:hAnsi="Cambria" w:cs="Arial"/>
          <w:b/>
          <w:sz w:val="28"/>
          <w:szCs w:val="28"/>
          <w:lang w:val="uz-Cyrl-UZ"/>
        </w:rPr>
        <w:t>. Қумқўрғон туман тиббиёт бирлашмаси  35-сонли О</w:t>
      </w:r>
      <w:r w:rsidR="00987F84">
        <w:rPr>
          <w:rFonts w:ascii="Cambria" w:hAnsi="Cambria" w:cs="Arial"/>
          <w:b/>
          <w:sz w:val="28"/>
          <w:szCs w:val="28"/>
          <w:lang w:val="uz-Cyrl-UZ"/>
        </w:rPr>
        <w:t>илавуий поликлиникаси хақида маьлумот</w:t>
      </w:r>
      <w:r>
        <w:rPr>
          <w:rFonts w:ascii="Cambria" w:hAnsi="Cambria" w:cs="Arial"/>
          <w:b/>
          <w:sz w:val="28"/>
          <w:szCs w:val="28"/>
          <w:lang w:val="uz-Cyrl-UZ"/>
        </w:rPr>
        <w:t>.</w:t>
      </w:r>
    </w:p>
    <w:p w:rsidR="00E83144" w:rsidRPr="002B1F00" w:rsidRDefault="00E83144" w:rsidP="00E83144">
      <w:pPr>
        <w:spacing w:after="0" w:line="240" w:lineRule="auto"/>
        <w:jc w:val="both"/>
        <w:rPr>
          <w:rFonts w:ascii="Cambria" w:hAnsi="Cambria" w:cs="Times New Roman"/>
          <w:sz w:val="24"/>
          <w:szCs w:val="28"/>
          <w:lang w:val="uz-Cyrl-UZ"/>
        </w:rPr>
      </w:pPr>
    </w:p>
    <w:tbl>
      <w:tblPr>
        <w:tblStyle w:val="aa"/>
        <w:tblW w:w="15251" w:type="dxa"/>
        <w:jc w:val="center"/>
        <w:tblLook w:val="04A0" w:firstRow="1" w:lastRow="0" w:firstColumn="1" w:lastColumn="0" w:noHBand="0" w:noVBand="1"/>
      </w:tblPr>
      <w:tblGrid>
        <w:gridCol w:w="524"/>
        <w:gridCol w:w="8552"/>
        <w:gridCol w:w="6175"/>
      </w:tblGrid>
      <w:tr w:rsidR="00E83144" w:rsidRPr="00987F84" w:rsidTr="009D432E">
        <w:trPr>
          <w:jc w:val="center"/>
        </w:trPr>
        <w:tc>
          <w:tcPr>
            <w:tcW w:w="524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E83144" w:rsidRPr="00C06D43" w:rsidRDefault="00E83144" w:rsidP="009D432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uz-Cyrl-UZ"/>
              </w:rPr>
            </w:pPr>
            <w:r w:rsidRPr="00C06D43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Pr="00C06D43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14727" w:type="dxa"/>
            <w:gridSpan w:val="2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E83144" w:rsidRPr="00C06D43" w:rsidRDefault="00E83144" w:rsidP="009D432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uz-Cyrl-UZ"/>
              </w:rPr>
            </w:pPr>
            <w:r w:rsidRPr="00C06D43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Аҳоли хонадонларига танлов асосида ташриф буюриб</w:t>
            </w:r>
            <w:r w:rsidRPr="006D19B5">
              <w:rPr>
                <w:rFonts w:ascii="Arial" w:hAnsi="Arial" w:cs="Arial"/>
                <w:sz w:val="24"/>
                <w:szCs w:val="24"/>
                <w:lang w:val="uz-Cyrl-UZ"/>
              </w:rPr>
              <w:t>:</w:t>
            </w:r>
          </w:p>
        </w:tc>
      </w:tr>
      <w:tr w:rsidR="00E83144" w:rsidRPr="00987F84" w:rsidTr="009D432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E83144" w:rsidRPr="000C44D0" w:rsidRDefault="00E83144" w:rsidP="009D432E">
            <w:pPr>
              <w:jc w:val="center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а)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E83144" w:rsidRPr="00AE17E4" w:rsidRDefault="00E83144" w:rsidP="009D432E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Arial"/>
                <w:sz w:val="24"/>
                <w:szCs w:val="24"/>
                <w:lang w:val="uz-Cyrl-UZ"/>
              </w:rPr>
              <w:t>аҳоли поликлиниканинг ишидан мамнунми?</w:t>
            </w:r>
            <w:bookmarkStart w:id="0" w:name="_GoBack"/>
            <w:bookmarkEnd w:id="0"/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E83144" w:rsidRPr="00AE17E4" w:rsidRDefault="006108EB" w:rsidP="009D432E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Ахоли 35-сонли ОП хизматидан мамнун.</w:t>
            </w:r>
          </w:p>
        </w:tc>
      </w:tr>
      <w:tr w:rsidR="00E83144" w:rsidRPr="00987F84" w:rsidTr="009D432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E83144" w:rsidRPr="000C44D0" w:rsidRDefault="00E83144" w:rsidP="009D432E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б)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E83144" w:rsidRPr="00AE17E4" w:rsidRDefault="00E83144" w:rsidP="009D432E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Arial"/>
                <w:sz w:val="24"/>
                <w:szCs w:val="24"/>
                <w:lang w:val="uz-Cyrl-UZ"/>
              </w:rPr>
              <w:t>хонадон эгалари ўзларининг қайси поликлиникага бириктирилганлигини биладими?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E83144" w:rsidRPr="00AE17E4" w:rsidRDefault="006108EB" w:rsidP="009D432E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Врач ва патранаж хамшираларини билишади.</w:t>
            </w:r>
          </w:p>
        </w:tc>
      </w:tr>
      <w:tr w:rsidR="00E83144" w:rsidRPr="00AE17E4" w:rsidTr="009D432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E83144" w:rsidRPr="000C44D0" w:rsidRDefault="00E83144" w:rsidP="009D432E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в)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E83144" w:rsidRPr="00AE17E4" w:rsidRDefault="00E83144" w:rsidP="009D432E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Arial"/>
                <w:sz w:val="24"/>
                <w:szCs w:val="24"/>
                <w:lang w:val="uz-Cyrl-UZ"/>
              </w:rPr>
              <w:t>шифокор ва ҳамширани танишадими?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E83144" w:rsidRPr="00AE17E4" w:rsidRDefault="006108EB" w:rsidP="009D432E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Шифокор ва хамшираларини танийди.</w:t>
            </w:r>
          </w:p>
        </w:tc>
      </w:tr>
      <w:tr w:rsidR="00E83144" w:rsidRPr="00987F84" w:rsidTr="009D432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E83144" w:rsidRPr="000C44D0" w:rsidRDefault="00E83144" w:rsidP="009D432E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г)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E83144" w:rsidRPr="00AE17E4" w:rsidRDefault="00E83144" w:rsidP="009D432E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Arial"/>
                <w:sz w:val="24"/>
                <w:szCs w:val="24"/>
                <w:lang w:val="uz-Cyrl-UZ"/>
              </w:rPr>
              <w:t>туман (шаҳар) тиббиёт бирлашмалари томонидан аҳоли хатловдан ўтказилиб, улар бирламчи тиббий-санитария муассасаларига бириктирилганми?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E83144" w:rsidRPr="00AE17E4" w:rsidRDefault="006108EB" w:rsidP="009D432E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35-сонли ОПга туман тиббиёт бирлашмасидан Юқумли касалликлар бўлими куратор сифатида бириктирилган.</w:t>
            </w:r>
          </w:p>
        </w:tc>
      </w:tr>
      <w:tr w:rsidR="00E83144" w:rsidRPr="00987F84" w:rsidTr="009D432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E83144" w:rsidRPr="000C44D0" w:rsidRDefault="00E83144" w:rsidP="009D432E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д)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E83144" w:rsidRPr="00AE17E4" w:rsidRDefault="00E83144" w:rsidP="009D432E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Arial"/>
                <w:sz w:val="24"/>
                <w:szCs w:val="24"/>
                <w:lang w:val="uz-Cyrl-UZ"/>
              </w:rPr>
              <w:t>охирги марта қачон патронаж келган? аҳоли патронаж хизматидан розими?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E83144" w:rsidRPr="00AE17E4" w:rsidRDefault="006108EB" w:rsidP="006108EB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Уйма –уй юриб сўралганда ахолининг патранаж хизматидан розилиги  аниқланди. </w:t>
            </w:r>
          </w:p>
        </w:tc>
      </w:tr>
      <w:tr w:rsidR="00E83144" w:rsidRPr="00987F84" w:rsidTr="009D432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E83144" w:rsidRPr="000C44D0" w:rsidRDefault="00E83144" w:rsidP="009D432E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е)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E83144" w:rsidRPr="00AE17E4" w:rsidRDefault="00E83144" w:rsidP="009D432E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Arial"/>
                <w:sz w:val="24"/>
                <w:szCs w:val="24"/>
                <w:lang w:val="uz-Cyrl-UZ"/>
              </w:rPr>
              <w:t>тез ёрдам ишидан мамнунми (тезкорлик, қулайлик)?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E83144" w:rsidRPr="00AE17E4" w:rsidRDefault="006108EB" w:rsidP="009D432E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Тез ёрдам хизматидан мамнун лекин тез ёрдам машинаси маънан эскирганлигини айтишди.</w:t>
            </w:r>
          </w:p>
        </w:tc>
      </w:tr>
      <w:tr w:rsidR="00E83144" w:rsidRPr="00AE17E4" w:rsidTr="009D432E">
        <w:trPr>
          <w:jc w:val="center"/>
        </w:trPr>
        <w:tc>
          <w:tcPr>
            <w:tcW w:w="524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E83144" w:rsidRPr="00C06D43" w:rsidRDefault="00E83144" w:rsidP="009D432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II</w:t>
            </w:r>
            <w:r w:rsidRPr="00C06D43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14727" w:type="dxa"/>
            <w:gridSpan w:val="2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E83144" w:rsidRPr="00AE17E4" w:rsidRDefault="00E83144" w:rsidP="009D432E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Такомиллаштирилган тиббий профилактика ва патронаж хизматининг иловага келтирилган 26 та туман (шаҳар)да устувор равишда тўлиқ жорий этилганлигини ўрганиш </w:t>
            </w:r>
            <w:r w:rsidRPr="00AE17E4">
              <w:rPr>
                <w:rFonts w:asciiTheme="majorHAnsi" w:hAnsiTheme="majorHAnsi" w:cs="Arial"/>
                <w:i/>
                <w:sz w:val="24"/>
                <w:szCs w:val="24"/>
                <w:lang w:val="uz-Cyrl-UZ"/>
              </w:rPr>
              <w:t>(ПФ – 6110-сонли Фармон)</w:t>
            </w:r>
            <w:r w:rsidRPr="00AE17E4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Бунда</w:t>
            </w:r>
            <w:r w:rsidRPr="006D19B5">
              <w:rPr>
                <w:rFonts w:asciiTheme="majorHAnsi" w:hAnsiTheme="majorHAnsi" w:cs="Arial"/>
                <w:sz w:val="24"/>
                <w:szCs w:val="24"/>
                <w:lang w:val="uz-Cyrl-UZ"/>
              </w:rPr>
              <w:t>:</w:t>
            </w:r>
          </w:p>
        </w:tc>
      </w:tr>
      <w:tr w:rsidR="00E83144" w:rsidRPr="00987F84" w:rsidTr="009D432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E83144" w:rsidRPr="000C44D0" w:rsidRDefault="00E83144" w:rsidP="009D432E">
            <w:pPr>
              <w:jc w:val="center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а)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E83144" w:rsidRPr="00AE17E4" w:rsidRDefault="00E83144" w:rsidP="009D432E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аҳолининг саломатлик ва физиологик ҳолатидан келиб чиқиб, аҳоли тегишли гуруҳларга (таянч, паст хавф гуруҳи, ўрта хавф гуруҳи, юқори хавф гуруҳи ва бошқалар) ажратилганми?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E83144" w:rsidRPr="00376A44" w:rsidRDefault="00E83144" w:rsidP="006108EB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Ахоли хатлови давом этмоқда Ахолининг барча параметрлари  </w:t>
            </w:r>
            <w:r w:rsidRPr="00376A44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«</w:t>
            </w: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хатлов </w:t>
            </w:r>
            <w:r w:rsidRPr="00376A44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UZ» дастурига киритиб  гурухларга ажратиб борилмо</w:t>
            </w:r>
            <w:r w:rsidR="006108EB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қ</w:t>
            </w:r>
            <w:r w:rsidRPr="00376A44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да. </w:t>
            </w:r>
          </w:p>
        </w:tc>
      </w:tr>
      <w:tr w:rsidR="00E83144" w:rsidRPr="00987F84" w:rsidTr="009D432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E83144" w:rsidRPr="000C44D0" w:rsidRDefault="00E83144" w:rsidP="009D432E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б)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E83144" w:rsidRPr="00AE17E4" w:rsidRDefault="00E83144" w:rsidP="009D432E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аҳоли гуруҳ мансублигига кўра белгиланган муддатларда тиббий кўриклардан ўтиши ва саломатлиги даврий кузатувга олинганми?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E83144" w:rsidRPr="00AE17E4" w:rsidRDefault="00E83144" w:rsidP="006108EB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Ахоли режа асосида даврий тиббий кўрикдан ўтқазилиб аниқланган беморлар “Д” гурухга олиниб</w:t>
            </w:r>
            <w:r w:rsidR="006108EB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соғломлаштириш ишлари олиб борилмоқда.</w:t>
            </w: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.</w:t>
            </w:r>
          </w:p>
        </w:tc>
      </w:tr>
      <w:tr w:rsidR="00E83144" w:rsidRPr="00987F84" w:rsidTr="009D432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E83144" w:rsidRPr="000C44D0" w:rsidRDefault="00E83144" w:rsidP="009D432E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в)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E83144" w:rsidRPr="00AE17E4" w:rsidRDefault="00E83144" w:rsidP="009D432E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мустақил равишда тиббиёт муассасасига кела олмайдиган беморлар доимий кузатувга олинганми? ҳамда уйига борган ҳолда уларга тиббий </w:t>
            </w:r>
            <w:r w:rsidRPr="00D4517E">
              <w:rPr>
                <w:rFonts w:asciiTheme="majorHAnsi" w:hAnsiTheme="majorHAnsi" w:cs="Times New Roman"/>
                <w:spacing w:val="-4"/>
                <w:sz w:val="24"/>
                <w:szCs w:val="24"/>
                <w:lang w:val="uz-Cyrl-UZ"/>
              </w:rPr>
              <w:lastRenderedPageBreak/>
              <w:t>хизмат кўрсатиляптими? ва индивидуал патронаж амалга оширилмоқдами?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E83144" w:rsidRPr="00AE17E4" w:rsidRDefault="00E83144" w:rsidP="009D432E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lastRenderedPageBreak/>
              <w:t xml:space="preserve">Даволаш муассасаларда </w:t>
            </w: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муассасасига кела олмайдиган беморлар доимий кузатувга олинган</w:t>
            </w:r>
            <w:r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lastRenderedPageBreak/>
              <w:t xml:space="preserve">Вазирлар Махкамасининг  </w:t>
            </w: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2017 йил 13 сентябрдаги 718 –сонли қарори ва ССВнинг 535-сонли буйруғи кўрсатмалари асосида тиббий патранаж ва беморлар тиббий хизмат кўрсатилмоқда.</w:t>
            </w:r>
          </w:p>
        </w:tc>
      </w:tr>
      <w:tr w:rsidR="00E83144" w:rsidRPr="00856336" w:rsidTr="009D432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E83144" w:rsidRPr="000C44D0" w:rsidRDefault="00E83144" w:rsidP="009D432E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lastRenderedPageBreak/>
              <w:t>г)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E83144" w:rsidRPr="00E813D5" w:rsidRDefault="00E83144" w:rsidP="009D432E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профилактик кўриклар ўрнига ҳудуднинг ўзига хос хусусиятлари ва аҳолининг гуруҳга мансублигидан келиб чиқиб, муайян касалликлар бўйича даврий тиббий скрини</w:t>
            </w:r>
            <w:r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нг текширувлари ўтказилмоқдами?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E83144" w:rsidRPr="00AE17E4" w:rsidRDefault="00E83144" w:rsidP="000A3B7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Туманда</w:t>
            </w:r>
            <w:r w:rsidR="000A3B73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кўкрак саратонининг олдини олиш ва </w:t>
            </w: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хомиладор аёлларда туғма анамалияларнинг олдини олиш борасида скрининг текширувлари ўтқазилмоқда.</w:t>
            </w:r>
          </w:p>
        </w:tc>
      </w:tr>
      <w:tr w:rsidR="00E83144" w:rsidRPr="00987F84" w:rsidTr="009D432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E83144" w:rsidRPr="000C44D0" w:rsidRDefault="00E83144" w:rsidP="009D432E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д)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E83144" w:rsidRPr="00AE17E4" w:rsidRDefault="00E83144" w:rsidP="009D432E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янгиланган мақсадли патронаж тизими жорий қилинганми?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E83144" w:rsidRPr="00AE17E4" w:rsidRDefault="00E83144" w:rsidP="009D432E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Патранаж тизими Соғлиқни сақлаш вазирлиги бўйрўқлари бўйича ташкил қилинган хар 6 ойда тиббиёт бирлашмаси мониторинг гурухи томонидан мониторинг бахолаш ишлари олиб борилмоқда.</w:t>
            </w:r>
          </w:p>
        </w:tc>
      </w:tr>
      <w:tr w:rsidR="00E83144" w:rsidRPr="00987F84" w:rsidTr="009D432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E83144" w:rsidRPr="000C44D0" w:rsidRDefault="00E83144" w:rsidP="009D432E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е)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E83144" w:rsidRPr="00AE17E4" w:rsidRDefault="00E83144" w:rsidP="009D432E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туман (шаҳар) кўп тармоқли марказий поликлиникалари ва вилоят шифохоналарига бепул тиббий ёрдам кўрсатилиши учун йўлланма бевосита оилавий шифокор томонидан берилиши йўлга қўйилганми?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E83144" w:rsidRPr="00AE17E4" w:rsidRDefault="00E83144" w:rsidP="000A3B7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Вилоят шифохоналарига йўлланмалар оилавий шифокорлар йўлланмаси асосида Кўп тармоқли марказий поликлиника</w:t>
            </w:r>
            <w:r w:rsidR="000A3B73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тиббий танлов комиссияси хулосаси </w:t>
            </w: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томонидан берилмоқда.</w:t>
            </w:r>
          </w:p>
        </w:tc>
      </w:tr>
      <w:tr w:rsidR="00E83144" w:rsidRPr="00AE17E4" w:rsidTr="009D432E">
        <w:trPr>
          <w:jc w:val="center"/>
        </w:trPr>
        <w:tc>
          <w:tcPr>
            <w:tcW w:w="524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E83144" w:rsidRPr="00C06D43" w:rsidRDefault="00E83144" w:rsidP="009D432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06D43">
              <w:rPr>
                <w:rFonts w:ascii="Arial" w:hAnsi="Arial" w:cs="Arial"/>
                <w:b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Pr="00C06D43">
              <w:rPr>
                <w:rFonts w:ascii="Arial" w:hAnsi="Arial" w:cs="Arial"/>
                <w:b/>
                <w:sz w:val="24"/>
                <w:szCs w:val="24"/>
              </w:rPr>
              <w:t>I.</w:t>
            </w:r>
          </w:p>
        </w:tc>
        <w:tc>
          <w:tcPr>
            <w:tcW w:w="14727" w:type="dxa"/>
            <w:gridSpan w:val="2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E83144" w:rsidRPr="00C06D43" w:rsidRDefault="00E83144" w:rsidP="009D432E">
            <w:pPr>
              <w:jc w:val="both"/>
              <w:rPr>
                <w:rFonts w:ascii="Arial" w:hAnsi="Arial" w:cs="Arial"/>
                <w:b/>
                <w:sz w:val="24"/>
                <w:szCs w:val="24"/>
                <w:lang w:val="uz-Cyrl-UZ"/>
              </w:rPr>
            </w:pPr>
            <w:r w:rsidRPr="00C06D43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Оилавий шифокор пункти (ОШП) ва Оилавий поликлиниканинг (ОП) маҳалла, шу жумладан аҳоли билан ишлаши қандай йўлга қўйилган?</w:t>
            </w:r>
          </w:p>
        </w:tc>
      </w:tr>
      <w:tr w:rsidR="00E83144" w:rsidRPr="00987F84" w:rsidTr="009D432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E83144" w:rsidRPr="000C44D0" w:rsidRDefault="00E83144" w:rsidP="009D432E">
            <w:pPr>
              <w:jc w:val="center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а)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E83144" w:rsidRPr="00AE17E4" w:rsidRDefault="00E83144" w:rsidP="009D432E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соғлом турмуш тарзини шакллантириш ва жамоат саломатлигини мустаҳкамлаш борасида қандай ишлар олиб борилмоқда?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E83144" w:rsidRDefault="00E83144" w:rsidP="009D432E">
            <w:pPr>
              <w:jc w:val="both"/>
              <w:rPr>
                <w:rFonts w:asciiTheme="majorHAnsi" w:hAnsiTheme="majorHAnsi" w:cs="Times New Roman"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соғлом турмуш тарзини шакллантириш ва жамоат саломатлигини мустаҳкамлаш борасида</w:t>
            </w:r>
            <w:r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 ойлавий шифокорлар ,патранаж хамширалар ва махалла мутахассислари хамда махалла фаоллари иштирокида гурухлар тузилиб қуйидагии</w:t>
            </w:r>
          </w:p>
          <w:p w:rsidR="00E83144" w:rsidRDefault="00E83144" w:rsidP="009D432E">
            <w:pPr>
              <w:jc w:val="both"/>
              <w:rPr>
                <w:rFonts w:asciiTheme="majorHAnsi" w:hAnsiTheme="majorHAnsi" w:cs="Times New Roman"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1-гурух жисмоний фаоллик бўйича(пиёда , эстафета юришлар, оилавий мусабақалар  болалар спорт уйинлари.Туман бўйича хар шанба куни 9-00 дан 12-00гача тадбирлар ўтқазилмоқда..</w:t>
            </w:r>
          </w:p>
          <w:p w:rsidR="00E83144" w:rsidRDefault="00E83144" w:rsidP="009D432E">
            <w:pPr>
              <w:jc w:val="both"/>
              <w:rPr>
                <w:rFonts w:asciiTheme="majorHAnsi" w:hAnsiTheme="majorHAnsi" w:cs="Times New Roman"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2-гурух соғлом овқатланинш бўйича махалла ахолиси, мактаб-коллеж уқувчилар орасида файдали ва </w:t>
            </w:r>
            <w:r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lastRenderedPageBreak/>
              <w:t>зарарли озиқ-овқат махсулотлар хамда салатлар тайёрлаш бўйича тадбирлар ўтқазилмоқда.</w:t>
            </w:r>
          </w:p>
          <w:p w:rsidR="00E83144" w:rsidRPr="00AE17E4" w:rsidRDefault="00E83144" w:rsidP="009D432E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3-гурух шахсий гигиена ва хонадон тозалиги бўйича (хар хонадонда ошхона олди ва хожатхона олдида умивальник сочиқ совун мавжудлигига эришиш тадбирлари олиб борилмоқда.Мактаб, коллеж-лицейлардаги дуконлар, ошхоналарда озиқ –овқат махсулотларининг сақланиши,тайёрланиши текшириб маслахатлар бериб борилмоқда.  </w:t>
            </w:r>
          </w:p>
        </w:tc>
      </w:tr>
      <w:tr w:rsidR="00E83144" w:rsidRPr="00987F84" w:rsidTr="009D432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E83144" w:rsidRPr="000C44D0" w:rsidRDefault="00E83144" w:rsidP="009D432E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lastRenderedPageBreak/>
              <w:t>б)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E83144" w:rsidRPr="00AE17E4" w:rsidRDefault="00E83144" w:rsidP="009D432E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маҳалла фуқаролар йиғини томонидан “Саломатлик мактаблари” ташкил қилинганми? Уларнинг фаолияти қай даражада?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E83144" w:rsidRPr="00AE17E4" w:rsidRDefault="00E83144" w:rsidP="009D432E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Махалла фуқаролар йиғини томонидан “Саломатлик мактаблари ташкил қилинган.Юқорида кўрсатилган гурухлар Саломатлик мактаблари фаолияти хисобланади. Туман хокимлиги, махалла ва тиббиёт ходимлари хамкорлигида “Саломатлик мактаби” фаолияти бўйича тадбирлар режалаштирилиб олиб борилмоқда.  </w:t>
            </w:r>
          </w:p>
        </w:tc>
      </w:tr>
      <w:tr w:rsidR="00E83144" w:rsidRPr="00987F84" w:rsidTr="009D432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E83144" w:rsidRPr="000C44D0" w:rsidRDefault="00E83144" w:rsidP="009D432E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в)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E83144" w:rsidRPr="00AE17E4" w:rsidRDefault="00E83144" w:rsidP="009D432E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“Қишлоқ шифокори” дастурини амалга ошириш мақсадида ҳокимлик томонидан олис ва чекка худудларга шифокорларга бўлган эҳтиёж ўрганилганми? 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E83144" w:rsidRPr="00AE17E4" w:rsidRDefault="00E83144" w:rsidP="009D432E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“Қишлоқ шифокори” дастурини амалга ошириш мақсадида ҳокимлик томонидан олис ва чекка худудларга шифокорларга бўлган эҳтиёж ўрганилган</w:t>
            </w:r>
            <w:r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 </w:t>
            </w:r>
            <w:r w:rsidR="000A3B73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Хозирги вақтда кадрлар етишмовчилиги сабабли эхтиёж қопланмаган.</w:t>
            </w:r>
          </w:p>
        </w:tc>
      </w:tr>
      <w:tr w:rsidR="00E83144" w:rsidRPr="00AE17E4" w:rsidTr="009D432E">
        <w:trPr>
          <w:jc w:val="center"/>
        </w:trPr>
        <w:tc>
          <w:tcPr>
            <w:tcW w:w="524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E83144" w:rsidRPr="00C06D43" w:rsidRDefault="00E83144" w:rsidP="009D432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IV</w:t>
            </w:r>
            <w:r w:rsidRPr="00C06D43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14727" w:type="dxa"/>
            <w:gridSpan w:val="2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E83144" w:rsidRPr="00C06D43" w:rsidRDefault="00E83144" w:rsidP="009D432E">
            <w:pPr>
              <w:jc w:val="both"/>
              <w:rPr>
                <w:rFonts w:ascii="Arial" w:hAnsi="Arial" w:cs="Arial"/>
                <w:b/>
                <w:sz w:val="24"/>
                <w:szCs w:val="24"/>
                <w:lang w:val="uz-Cyrl-UZ"/>
              </w:rPr>
            </w:pPr>
            <w:r w:rsidRPr="00C06D43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Тиббиёт муассасалари (</w:t>
            </w:r>
            <w:r>
              <w:rPr>
                <w:rFonts w:ascii="Arial" w:hAnsi="Arial" w:cs="Arial"/>
                <w:b/>
                <w:sz w:val="24"/>
                <w:szCs w:val="24"/>
                <w:lang w:val="uz-Cyrl-UZ"/>
              </w:rPr>
              <w:t>о</w:t>
            </w:r>
            <w:r w:rsidRPr="00C06D43">
              <w:rPr>
                <w:rFonts w:ascii="Arial" w:hAnsi="Arial" w:cs="Arial"/>
                <w:b/>
                <w:sz w:val="24"/>
                <w:szCs w:val="24"/>
                <w:lang w:val="uz-Cyrl-UZ"/>
              </w:rPr>
              <w:t xml:space="preserve">илавий шифокор пункти, </w:t>
            </w:r>
            <w:r>
              <w:rPr>
                <w:rFonts w:ascii="Arial" w:hAnsi="Arial" w:cs="Arial"/>
                <w:b/>
                <w:sz w:val="24"/>
                <w:szCs w:val="24"/>
                <w:lang w:val="uz-Cyrl-UZ"/>
              </w:rPr>
              <w:t>о</w:t>
            </w:r>
            <w:r w:rsidRPr="00C06D43">
              <w:rPr>
                <w:rFonts w:ascii="Arial" w:hAnsi="Arial" w:cs="Arial"/>
                <w:b/>
                <w:sz w:val="24"/>
                <w:szCs w:val="24"/>
                <w:lang w:val="uz-Cyrl-UZ"/>
              </w:rPr>
              <w:t xml:space="preserve">илавий поликлиника, кўп тармоқли марказий поликлиника, туман тиббиёт бирлашмаси) фаолияти ўрганилади </w:t>
            </w:r>
            <w:r w:rsidRPr="00DF2D12">
              <w:rPr>
                <w:rFonts w:ascii="Arial" w:hAnsi="Arial" w:cs="Arial"/>
                <w:i/>
                <w:sz w:val="24"/>
                <w:szCs w:val="24"/>
                <w:lang w:val="uz-Cyrl-UZ"/>
              </w:rPr>
              <w:t>(танлов асосида)</w:t>
            </w:r>
            <w:r w:rsidRPr="00DF2D12">
              <w:rPr>
                <w:rFonts w:ascii="Arial" w:hAnsi="Arial" w:cs="Arial"/>
                <w:sz w:val="24"/>
                <w:szCs w:val="24"/>
                <w:lang w:val="uz-Cyrl-UZ"/>
              </w:rPr>
              <w:t>:</w:t>
            </w:r>
          </w:p>
        </w:tc>
      </w:tr>
      <w:tr w:rsidR="00E83144" w:rsidRPr="00987F84" w:rsidTr="009D432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E83144" w:rsidRPr="000C44D0" w:rsidRDefault="00E83144" w:rsidP="009D432E">
            <w:pPr>
              <w:jc w:val="center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а)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E83144" w:rsidRPr="00AE17E4" w:rsidRDefault="00E83144" w:rsidP="009D432E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қанча аҳолига хизмат кўрсатади?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E83144" w:rsidRPr="00AE17E4" w:rsidRDefault="000A3B73" w:rsidP="000A3B7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35-сонли ОП. </w:t>
            </w:r>
            <w:r w:rsidR="00E83144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Ахоли</w:t>
            </w: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си</w:t>
            </w:r>
            <w:r w:rsidR="00E83144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2021 йил 1 янар холатига 17574 нафар</w:t>
            </w: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шундан ТЁА 4810, 0-18 ёшгача 6070 нафар.</w:t>
            </w:r>
          </w:p>
        </w:tc>
      </w:tr>
      <w:tr w:rsidR="00E83144" w:rsidRPr="00987F84" w:rsidTr="009D432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E83144" w:rsidRPr="000C44D0" w:rsidRDefault="00E83144" w:rsidP="009D432E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б)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E83144" w:rsidRPr="00AE17E4" w:rsidRDefault="00E83144" w:rsidP="009D432E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бириктирилган аҳоли сони белгиланган нормативдан кўпми (озми)?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E83144" w:rsidRPr="00AE17E4" w:rsidRDefault="00E83144" w:rsidP="009D432E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Ахоли сони Тиббиёт ходимларига бириктирилиши бўйича нормадан кўп.</w:t>
            </w:r>
          </w:p>
        </w:tc>
      </w:tr>
      <w:tr w:rsidR="00E83144" w:rsidRPr="00987F84" w:rsidTr="009D432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E83144" w:rsidRPr="000C44D0" w:rsidRDefault="00E83144" w:rsidP="009D432E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lastRenderedPageBreak/>
              <w:t>в)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E83144" w:rsidRPr="000B38FE" w:rsidRDefault="00E83144" w:rsidP="009D432E">
            <w:pPr>
              <w:jc w:val="both"/>
              <w:rPr>
                <w:rFonts w:asciiTheme="majorHAnsi" w:hAnsiTheme="majorHAnsi" w:cs="Arial"/>
                <w:b/>
                <w:spacing w:val="-10"/>
                <w:sz w:val="24"/>
                <w:szCs w:val="24"/>
                <w:lang w:val="uz-Cyrl-UZ"/>
              </w:rPr>
            </w:pPr>
            <w:r w:rsidRPr="000B38FE">
              <w:rPr>
                <w:rFonts w:asciiTheme="majorHAnsi" w:hAnsiTheme="majorHAnsi" w:cs="Times New Roman"/>
                <w:spacing w:val="-10"/>
                <w:sz w:val="24"/>
                <w:szCs w:val="24"/>
                <w:lang w:val="uz-Cyrl-UZ"/>
              </w:rPr>
              <w:t>шифокорлар, ҳамширалар етарлими? Етарли бўлмаса сабаблари нимадан иборат?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E83144" w:rsidRDefault="00E83144" w:rsidP="009D432E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Ўрта тиббиёт ходимлари 36 нафар 10000 ахолига нисбатан таъминланиш 20.4 ни ташкил қилади. УАШ врачлар 4 нафар 10000 ахолига нисбатан таъминланиш </w:t>
            </w:r>
            <w:r w:rsidR="009D432E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22.5 ташкил қилади.. УАШ врачлар вакант 5 нафар.</w:t>
            </w: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. Врачлар билан   таъминланиш  етарли эмас.Сабаби ;</w:t>
            </w:r>
          </w:p>
          <w:p w:rsidR="00E83144" w:rsidRDefault="00E83144" w:rsidP="009D432E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1.Иш хажмининг  ва сўровнинг кўплиги иш хақининг камлиги сабабли янги келаётган УАШлар вилоят марказига, Тошкентга ва хусусий клиникаларга </w:t>
            </w:r>
            <w:r w:rsidR="009D432E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бориб ишлашмоқда.</w:t>
            </w:r>
          </w:p>
          <w:p w:rsidR="00E83144" w:rsidRPr="00AE17E4" w:rsidRDefault="00E83144" w:rsidP="009D432E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</w:t>
            </w:r>
          </w:p>
        </w:tc>
      </w:tr>
      <w:tr w:rsidR="00E83144" w:rsidRPr="00987F84" w:rsidTr="009D432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E83144" w:rsidRPr="000C44D0" w:rsidRDefault="00E83144" w:rsidP="009D432E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г)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E83144" w:rsidRPr="00AE17E4" w:rsidRDefault="00E83144" w:rsidP="009D432E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тиббиёт ускуналари билан таъминланганлик даражаси қандай?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E83144" w:rsidRPr="00AE17E4" w:rsidRDefault="00E83144" w:rsidP="009D432E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Давлат бюджети маблағлари хисобига ва Саломатлик 2-3 лойихалари бўйича келтирилган тиббиёт асбоб ускуналари билан таъминланиш 68-70 фоизни ташкил қилади.</w:t>
            </w:r>
          </w:p>
        </w:tc>
      </w:tr>
      <w:tr w:rsidR="00E83144" w:rsidRPr="00987F84" w:rsidTr="009D432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E83144" w:rsidRPr="000C44D0" w:rsidRDefault="00E83144" w:rsidP="009D432E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д)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E83144" w:rsidRPr="00AE17E4" w:rsidRDefault="00E83144" w:rsidP="009D432E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тиббиёт муассасалари оптик толали алоқа линиялари орқали Интернет тармоғига уланганми?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E83144" w:rsidRPr="00AE17E4" w:rsidRDefault="00E83144" w:rsidP="009D432E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Даволаш муассасаларига </w:t>
            </w: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оптик толали алоқа линиялари орқали Интернет тармоғи</w:t>
            </w:r>
            <w:r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  борган </w:t>
            </w:r>
            <w:r w:rsidR="009D432E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биринчи чоракда тўлиқ уланиши режалаштирилган. </w:t>
            </w:r>
          </w:p>
        </w:tc>
      </w:tr>
      <w:tr w:rsidR="00E83144" w:rsidRPr="00430E42" w:rsidTr="009D432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E83144" w:rsidRPr="000C44D0" w:rsidRDefault="00E83144" w:rsidP="009D432E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е)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E83144" w:rsidRPr="006819AF" w:rsidRDefault="00E83144" w:rsidP="009D432E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345B1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аҳоли сони ва маҳаллий заруриятдан келиб чиқиб, шунингдек, Соғлиқни сақлаш вазирлигининг рўйхатига мувофиқ </w:t>
            </w:r>
            <w:r w:rsidRPr="006819AF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туну-кун навбатчи тиббиёт ходими</w:t>
            </w:r>
            <w:r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 фаолияти йўлга қўйиганми?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E83144" w:rsidRPr="00430E42" w:rsidRDefault="00E83144" w:rsidP="009D432E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Амбулатор хизмат кўрсатувчи муассасаларга туну-кун навбатчи тиббиёт ходими навбатчилиги ташкил қилин</w:t>
            </w:r>
            <w:r w:rsidR="009D432E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ган 35-сонли ОП биносида 103 тез ёрдам шохобчаси мавжуд.</w:t>
            </w: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.</w:t>
            </w:r>
          </w:p>
        </w:tc>
      </w:tr>
      <w:tr w:rsidR="00E83144" w:rsidRPr="00E83144" w:rsidTr="009D432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E83144" w:rsidRPr="000C44D0" w:rsidRDefault="00E83144" w:rsidP="009D432E">
            <w:pPr>
              <w:jc w:val="center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uz-Cyrl-UZ"/>
              </w:rPr>
              <w:t>ж</w:t>
            </w: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E83144" w:rsidRPr="00AE17E4" w:rsidRDefault="00E83144" w:rsidP="009D432E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шошилинч тиббий ёрдам хизматига бўлаё</w:t>
            </w:r>
            <w:r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тган мурожаатларни таҳлил қилиш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E83144" w:rsidRPr="00AE17E4" w:rsidRDefault="00E83144" w:rsidP="009D432E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Тиббиёт бирлашмаси тизимидаги </w:t>
            </w:r>
            <w:r w:rsidR="009D432E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35-сонли ОПда </w:t>
            </w: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 1 та таянч пункти</w:t>
            </w:r>
            <w:r w:rsidR="009D432E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ташкил қилинган бўлиб 2020 йил давомида</w:t>
            </w: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</w:t>
            </w:r>
            <w:r w:rsidR="009D432E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ж</w:t>
            </w: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ами чақириқлар сони </w:t>
            </w:r>
            <w:r w:rsidR="009D432E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5355</w:t>
            </w: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та. Бир чақириқга  4225 сўмдан тўғри келади. Халқ томонидан асосланмаган чақириқлар кўп. (қон босимини ўлчаш учун,антибиотик қилиш учун ва Сурункали касалларнинг осма қуйдириш учун чақириқлар).</w:t>
            </w:r>
            <w:r w:rsidR="009D432E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2020 йил давомида тез ёрдам хизмати бўйича  шикоятлар мавжуд эмас.</w:t>
            </w:r>
          </w:p>
        </w:tc>
      </w:tr>
      <w:tr w:rsidR="00E83144" w:rsidRPr="00987F84" w:rsidTr="009D432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E83144" w:rsidRPr="000C44D0" w:rsidRDefault="00E83144" w:rsidP="009D432E">
            <w:pPr>
              <w:jc w:val="center"/>
            </w:pPr>
            <w:r>
              <w:rPr>
                <w:rFonts w:asciiTheme="majorHAnsi" w:hAnsiTheme="majorHAnsi" w:cs="Arial"/>
                <w:sz w:val="24"/>
                <w:szCs w:val="24"/>
                <w:lang w:val="uz-Cyrl-UZ"/>
              </w:rPr>
              <w:lastRenderedPageBreak/>
              <w:t>з</w:t>
            </w: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E83144" w:rsidRPr="00C06D43" w:rsidRDefault="00E83144" w:rsidP="009D432E">
            <w:pPr>
              <w:jc w:val="both"/>
              <w:rPr>
                <w:rFonts w:asciiTheme="majorHAnsi" w:hAnsiTheme="majorHAnsi" w:cs="Times New Roman"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шифокорлар ва беморлар билан суҳбатлашиб, уларнинг аҳолига тиббий хизмат кўрс</w:t>
            </w:r>
            <w:r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атиш бўйича фикрларини ўрганиш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E83144" w:rsidRPr="00AE17E4" w:rsidRDefault="009D432E" w:rsidP="009D432E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Ахоли билан сухбатлашилганда тиббий хизмат кўрсатиш сифати қониқарли эканлиги аниқланди.</w:t>
            </w:r>
          </w:p>
        </w:tc>
      </w:tr>
      <w:tr w:rsidR="00E83144" w:rsidRPr="00987F84" w:rsidTr="009D432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E83144" w:rsidRPr="000C44D0" w:rsidRDefault="00E83144" w:rsidP="009D432E">
            <w:pPr>
              <w:jc w:val="center"/>
            </w:pPr>
            <w:r>
              <w:rPr>
                <w:rFonts w:asciiTheme="majorHAnsi" w:hAnsiTheme="majorHAnsi" w:cs="Arial"/>
                <w:sz w:val="24"/>
                <w:szCs w:val="24"/>
                <w:lang w:val="uz-Cyrl-UZ"/>
              </w:rPr>
              <w:t>и</w:t>
            </w: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E83144" w:rsidRPr="00AE17E4" w:rsidRDefault="00E83144" w:rsidP="009D432E">
            <w:pPr>
              <w:jc w:val="both"/>
              <w:rPr>
                <w:rFonts w:asciiTheme="majorHAnsi" w:hAnsiTheme="majorHAnsi" w:cs="Times New Roman"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навбат кутишни камайтириш бўйича қандай чоралар кўрилмоқда?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E83144" w:rsidRPr="00AE17E4" w:rsidRDefault="00E83144" w:rsidP="009D432E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Электрон поликлиникага</w:t>
            </w:r>
            <w:r w:rsidR="000A3B73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тизимига</w:t>
            </w: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ўтиш ва мутахассисларни кўпайтириш.. </w:t>
            </w:r>
          </w:p>
        </w:tc>
      </w:tr>
      <w:tr w:rsidR="00E83144" w:rsidRPr="00987F84" w:rsidTr="009D432E">
        <w:trPr>
          <w:jc w:val="center"/>
        </w:trPr>
        <w:tc>
          <w:tcPr>
            <w:tcW w:w="524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E83144" w:rsidRPr="00C06D43" w:rsidRDefault="00E83144" w:rsidP="009D432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06D43">
              <w:rPr>
                <w:rFonts w:ascii="Arial" w:hAnsi="Arial" w:cs="Arial"/>
                <w:b/>
                <w:sz w:val="24"/>
                <w:szCs w:val="24"/>
              </w:rPr>
              <w:t>V.</w:t>
            </w:r>
          </w:p>
        </w:tc>
        <w:tc>
          <w:tcPr>
            <w:tcW w:w="14727" w:type="dxa"/>
            <w:gridSpan w:val="2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E83144" w:rsidRPr="00844F2B" w:rsidRDefault="00E83144" w:rsidP="009D432E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844F2B">
              <w:rPr>
                <w:rFonts w:asciiTheme="majorHAnsi" w:hAnsiTheme="majorHAnsi" w:cs="Times New Roman"/>
                <w:b/>
                <w:sz w:val="24"/>
                <w:szCs w:val="24"/>
                <w:lang w:val="uz-Cyrl-UZ"/>
              </w:rPr>
              <w:t xml:space="preserve">Туман (шаҳар) тиббиёт бирлашмаси фаолият дислокацияси бўйича кўп тармоқли марказий поликлиника биносида жойлаштирилиши ҳолатини ўрганиш </w:t>
            </w:r>
            <w:r w:rsidRPr="00844F2B">
              <w:rPr>
                <w:rFonts w:asciiTheme="majorHAnsi" w:hAnsiTheme="majorHAnsi" w:cs="Times New Roman"/>
                <w:b/>
                <w:i/>
                <w:sz w:val="24"/>
                <w:szCs w:val="24"/>
                <w:lang w:val="uz-Cyrl-UZ"/>
              </w:rPr>
              <w:t>(ПФ – 6110-сонли Фармон)</w:t>
            </w:r>
            <w:r w:rsidRPr="00844F2B">
              <w:rPr>
                <w:rFonts w:asciiTheme="majorHAnsi" w:hAnsiTheme="majorHAnsi" w:cs="Times New Roman"/>
                <w:b/>
                <w:sz w:val="24"/>
                <w:szCs w:val="24"/>
                <w:lang w:val="uz-Cyrl-UZ"/>
              </w:rPr>
              <w:t>. Агар бу борада муаммо мавжуд бўлса, уни ҳар томонлама кўриб чиқиш ва асослантирилган таклиф ишлаб чиқиш.</w:t>
            </w:r>
          </w:p>
        </w:tc>
      </w:tr>
      <w:tr w:rsidR="00E83144" w:rsidRPr="00987F84" w:rsidTr="009D432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E83144" w:rsidRPr="000C44D0" w:rsidRDefault="00E83144" w:rsidP="009D432E">
            <w:pPr>
              <w:jc w:val="center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а)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E83144" w:rsidRPr="00AE17E4" w:rsidRDefault="00E83144" w:rsidP="009D432E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Туман (шаҳар) тиббиёт бирлашмаси фаолият </w:t>
            </w:r>
            <w:r w:rsidRPr="00AE17E4">
              <w:rPr>
                <w:rFonts w:asciiTheme="majorHAnsi" w:hAnsiTheme="majorHAnsi" w:cs="Times New Roman"/>
                <w:b/>
                <w:sz w:val="24"/>
                <w:szCs w:val="24"/>
                <w:lang w:val="uz-Cyrl-UZ"/>
              </w:rPr>
              <w:t>дислокацияси</w:t>
            </w: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 бўйича кўп тармоқли марказий поликлиника </w:t>
            </w:r>
            <w:r w:rsidRPr="00AE17E4">
              <w:rPr>
                <w:rFonts w:asciiTheme="majorHAnsi" w:hAnsiTheme="majorHAnsi" w:cs="Times New Roman"/>
                <w:b/>
                <w:sz w:val="24"/>
                <w:szCs w:val="24"/>
                <w:lang w:val="uz-Cyrl-UZ"/>
              </w:rPr>
              <w:t>биносида жойлаштирилиши ҳолатини</w:t>
            </w: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 ўрганиш.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E83144" w:rsidRPr="00AE17E4" w:rsidRDefault="00E83144" w:rsidP="009D432E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Тиббиёт бирлашмаси </w:t>
            </w: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фаолият </w:t>
            </w:r>
            <w:r w:rsidRPr="00AE17E4">
              <w:rPr>
                <w:rFonts w:asciiTheme="majorHAnsi" w:hAnsiTheme="majorHAnsi" w:cs="Times New Roman"/>
                <w:b/>
                <w:sz w:val="24"/>
                <w:szCs w:val="24"/>
                <w:lang w:val="uz-Cyrl-UZ"/>
              </w:rPr>
              <w:t>дислокацияси</w:t>
            </w: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 бўйича кўп тармоқли марказий поликлиника </w:t>
            </w:r>
            <w:r w:rsidRPr="00AE17E4">
              <w:rPr>
                <w:rFonts w:asciiTheme="majorHAnsi" w:hAnsiTheme="majorHAnsi" w:cs="Times New Roman"/>
                <w:b/>
                <w:sz w:val="24"/>
                <w:szCs w:val="24"/>
                <w:lang w:val="uz-Cyrl-UZ"/>
              </w:rPr>
              <w:t>биносида жойлаштирил</w:t>
            </w:r>
            <w:r>
              <w:rPr>
                <w:rFonts w:asciiTheme="majorHAnsi" w:hAnsiTheme="majorHAnsi" w:cs="Times New Roman"/>
                <w:b/>
                <w:sz w:val="24"/>
                <w:szCs w:val="24"/>
                <w:lang w:val="uz-Cyrl-UZ"/>
              </w:rPr>
              <w:t>ган.</w:t>
            </w:r>
          </w:p>
        </w:tc>
      </w:tr>
      <w:tr w:rsidR="00E83144" w:rsidRPr="00AE17E4" w:rsidTr="009D432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E83144" w:rsidRPr="000C44D0" w:rsidRDefault="00E83144" w:rsidP="009D432E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б)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E83144" w:rsidRPr="00AE17E4" w:rsidRDefault="00E83144" w:rsidP="009D432E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Агар бу борада муаммо мавжуд бўлса, уни ҳар томонлама кўриб чиқиш ва асослантирилган таклиф ишлаб чиқиш.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E83144" w:rsidRPr="00AE17E4" w:rsidRDefault="00E83144" w:rsidP="009D432E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</w:p>
        </w:tc>
      </w:tr>
    </w:tbl>
    <w:p w:rsidR="00E83144" w:rsidRDefault="00E83144" w:rsidP="00E83144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E83144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E83144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E83144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E83144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  <w:sectPr w:rsidR="00E83144" w:rsidSect="002020FE">
          <w:headerReference w:type="default" r:id="rId7"/>
          <w:pgSz w:w="16840" w:h="11907" w:orient="landscape" w:code="9"/>
          <w:pgMar w:top="567" w:right="567" w:bottom="567" w:left="567" w:header="720" w:footer="720" w:gutter="0"/>
          <w:cols w:space="720"/>
          <w:titlePg/>
          <w:docGrid w:linePitch="360"/>
        </w:sect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4E0BB1" w:rsidRDefault="004E0BB1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  <w:sectPr w:rsidR="004E0BB1" w:rsidSect="002020FE">
          <w:headerReference w:type="default" r:id="rId8"/>
          <w:pgSz w:w="16840" w:h="11907" w:orient="landscape" w:code="9"/>
          <w:pgMar w:top="567" w:right="567" w:bottom="567" w:left="567" w:header="720" w:footer="720" w:gutter="0"/>
          <w:cols w:space="720"/>
          <w:titlePg/>
          <w:docGrid w:linePitch="360"/>
        </w:sectPr>
      </w:pPr>
    </w:p>
    <w:p w:rsidR="00945554" w:rsidRPr="00B07D1E" w:rsidRDefault="00945554" w:rsidP="00945554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ru-RU"/>
        </w:rPr>
      </w:pPr>
      <w:r w:rsidRPr="00B07D1E">
        <w:rPr>
          <w:rFonts w:ascii="Cambria" w:hAnsi="Cambria" w:cs="Times New Roman"/>
          <w:bCs/>
          <w:noProof/>
          <w:sz w:val="28"/>
          <w:szCs w:val="36"/>
          <w:lang w:val="ru-RU"/>
        </w:rPr>
        <w:lastRenderedPageBreak/>
        <w:t>Ўзбекистон Республикаси</w:t>
      </w:r>
    </w:p>
    <w:p w:rsidR="00945554" w:rsidRPr="00B07D1E" w:rsidRDefault="00945554" w:rsidP="00945554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ru-RU"/>
        </w:rPr>
      </w:pPr>
      <w:r w:rsidRPr="00B07D1E">
        <w:rPr>
          <w:rFonts w:ascii="Cambria" w:hAnsi="Cambria" w:cs="Times New Roman"/>
          <w:bCs/>
          <w:noProof/>
          <w:sz w:val="28"/>
          <w:szCs w:val="36"/>
          <w:lang w:val="ru-RU"/>
        </w:rPr>
        <w:t>Президентининг</w:t>
      </w:r>
    </w:p>
    <w:p w:rsidR="00945554" w:rsidRPr="00B07D1E" w:rsidRDefault="00945554" w:rsidP="00945554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ru-RU"/>
        </w:rPr>
      </w:pPr>
      <w:r w:rsidRPr="00B07D1E">
        <w:rPr>
          <w:rFonts w:ascii="Cambria" w:hAnsi="Cambria" w:cs="Times New Roman"/>
          <w:bCs/>
          <w:noProof/>
          <w:sz w:val="28"/>
          <w:szCs w:val="36"/>
          <w:lang w:val="ru-RU"/>
        </w:rPr>
        <w:t>2020 йил 12 ноябрдаги</w:t>
      </w:r>
    </w:p>
    <w:p w:rsidR="00945554" w:rsidRPr="00B07D1E" w:rsidRDefault="00945554" w:rsidP="00945554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ru-RU"/>
        </w:rPr>
      </w:pPr>
      <w:r w:rsidRPr="00B07D1E">
        <w:rPr>
          <w:rFonts w:ascii="Cambria" w:hAnsi="Cambria" w:cs="Times New Roman"/>
          <w:bCs/>
          <w:noProof/>
          <w:sz w:val="28"/>
          <w:szCs w:val="36"/>
          <w:lang w:val="ru-RU"/>
        </w:rPr>
        <w:t>ПФ-6110-сон Фармонига</w:t>
      </w:r>
    </w:p>
    <w:p w:rsidR="00945554" w:rsidRPr="00B07D1E" w:rsidRDefault="00945554" w:rsidP="00945554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ru-RU"/>
        </w:rPr>
      </w:pPr>
      <w:r w:rsidRPr="00B07D1E">
        <w:rPr>
          <w:rFonts w:ascii="Cambria" w:hAnsi="Cambria" w:cs="Times New Roman"/>
          <w:bCs/>
          <w:noProof/>
          <w:sz w:val="28"/>
          <w:szCs w:val="36"/>
          <w:lang w:val="ru-RU"/>
        </w:rPr>
        <w:t>1-ИЛОВА</w:t>
      </w:r>
    </w:p>
    <w:p w:rsidR="00945554" w:rsidRPr="00D416BF" w:rsidRDefault="00945554" w:rsidP="00945554">
      <w:pPr>
        <w:autoSpaceDE w:val="0"/>
        <w:autoSpaceDN w:val="0"/>
        <w:adjustRightInd w:val="0"/>
        <w:spacing w:after="0" w:line="240" w:lineRule="auto"/>
        <w:ind w:firstLine="570"/>
        <w:jc w:val="right"/>
        <w:rPr>
          <w:rFonts w:ascii="Cambria" w:hAnsi="Cambria" w:cs="Virtec Times New Roman Uz"/>
          <w:noProof/>
          <w:sz w:val="18"/>
          <w:szCs w:val="36"/>
          <w:lang w:val="ru-RU"/>
        </w:rPr>
      </w:pPr>
    </w:p>
    <w:p w:rsidR="00945554" w:rsidRPr="00B07D1E" w:rsidRDefault="00945554" w:rsidP="00945554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b/>
          <w:bCs/>
          <w:noProof/>
          <w:sz w:val="24"/>
          <w:szCs w:val="24"/>
          <w:lang w:val="ru-RU"/>
        </w:rPr>
      </w:pPr>
      <w:r w:rsidRPr="00B07D1E">
        <w:rPr>
          <w:rFonts w:ascii="Cambria" w:hAnsi="Cambria" w:cs="Times New Roman"/>
          <w:b/>
          <w:bCs/>
          <w:noProof/>
          <w:sz w:val="24"/>
          <w:szCs w:val="24"/>
          <w:lang w:val="ru-RU"/>
        </w:rPr>
        <w:t>Янги тиббий профилактика ва патронаж тизими устувор</w:t>
      </w:r>
    </w:p>
    <w:p w:rsidR="00945554" w:rsidRPr="00B07D1E" w:rsidRDefault="00945554" w:rsidP="00945554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b/>
          <w:bCs/>
          <w:noProof/>
          <w:sz w:val="24"/>
          <w:szCs w:val="24"/>
          <w:lang w:val="ru-RU"/>
        </w:rPr>
      </w:pPr>
      <w:r w:rsidRPr="00B07D1E">
        <w:rPr>
          <w:rFonts w:ascii="Cambria" w:hAnsi="Cambria" w:cs="Times New Roman"/>
          <w:b/>
          <w:bCs/>
          <w:noProof/>
          <w:sz w:val="24"/>
          <w:szCs w:val="24"/>
          <w:lang w:val="ru-RU"/>
        </w:rPr>
        <w:t>равишда жорий қилинаётган туман (шаҳар)лар</w:t>
      </w:r>
    </w:p>
    <w:p w:rsidR="00945554" w:rsidRPr="00B07D1E" w:rsidRDefault="00945554" w:rsidP="00945554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b/>
          <w:bCs/>
          <w:noProof/>
          <w:sz w:val="24"/>
          <w:szCs w:val="24"/>
          <w:lang w:val="uz-Cyrl-UZ"/>
        </w:rPr>
      </w:pPr>
    </w:p>
    <w:p w:rsidR="00945554" w:rsidRPr="00B07D1E" w:rsidRDefault="00945554" w:rsidP="00945554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b/>
          <w:bCs/>
          <w:noProof/>
          <w:sz w:val="24"/>
          <w:szCs w:val="24"/>
        </w:rPr>
      </w:pPr>
      <w:r w:rsidRPr="00B07D1E">
        <w:rPr>
          <w:rFonts w:ascii="Cambria" w:hAnsi="Cambria" w:cs="Times New Roman"/>
          <w:b/>
          <w:bCs/>
          <w:noProof/>
          <w:sz w:val="24"/>
          <w:szCs w:val="24"/>
        </w:rPr>
        <w:t>РЎЙХАТИ</w:t>
      </w:r>
    </w:p>
    <w:p w:rsidR="00945554" w:rsidRPr="00B07D1E" w:rsidRDefault="00945554" w:rsidP="00945554">
      <w:pPr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Cambria" w:hAnsi="Cambria" w:cs="Times New Roman"/>
          <w:noProof/>
          <w:sz w:val="24"/>
          <w:szCs w:val="24"/>
        </w:rPr>
      </w:pPr>
    </w:p>
    <w:tbl>
      <w:tblPr>
        <w:tblW w:w="4120" w:type="pct"/>
        <w:jc w:val="center"/>
        <w:tblLayout w:type="fixed"/>
        <w:tblCellMar>
          <w:top w:w="8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605"/>
        <w:gridCol w:w="3945"/>
        <w:gridCol w:w="4340"/>
      </w:tblGrid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b/>
                <w:bCs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b/>
                <w:bCs/>
                <w:noProof/>
                <w:sz w:val="24"/>
                <w:szCs w:val="24"/>
              </w:rPr>
              <w:t>Т/р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Virtec Times New Roman Uz"/>
                <w:b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b/>
                <w:bCs/>
                <w:noProof/>
                <w:sz w:val="24"/>
                <w:szCs w:val="24"/>
              </w:rPr>
              <w:t>Ҳудудлар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Virtec Times New Roman Uz"/>
                <w:b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b/>
                <w:bCs/>
                <w:noProof/>
                <w:sz w:val="24"/>
                <w:szCs w:val="24"/>
              </w:rPr>
              <w:t>Туман (шаҳар)лар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Қорақалпоғистон Республикаси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1. Беруний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2. Нукус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Андижон вилояти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3. Қўрғонтепа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4. Андижон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Бухоро вилояти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5. Вобкент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6. Когон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Жиззах вилояти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7. Мирзачўл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8. Жиззах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Қашқадарё вилояти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9. Ғузор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10. Қарши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Навоий вилояти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11. Хатирчи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12. Навоий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Наманган вилояти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13. Тўрақўрғон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14. Наманган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Самарқанд вилояти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15. Иштихон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16. Каттақўрғон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9.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Сурхондарё вилояти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17. Олтинсой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18. Термиз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10.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Тошкент вилояти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19. Оққўрғон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20. Чирчиқ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11.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Фарғона вилояти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21. Олтиариқ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22. Марғилон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12.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Хоразм вилояти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23. Урганч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24. Урганч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13.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Тошкент шаҳри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25. Бектемир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26. Олмазор тумани</w:t>
            </w:r>
          </w:p>
        </w:tc>
      </w:tr>
    </w:tbl>
    <w:p w:rsidR="00945554" w:rsidRPr="00B07D1E" w:rsidRDefault="00945554" w:rsidP="00945554">
      <w:pPr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Cambria" w:hAnsi="Cambria" w:cs="Virtec Times New Roman Uz"/>
          <w:noProof/>
          <w:sz w:val="24"/>
          <w:szCs w:val="24"/>
        </w:rPr>
      </w:pPr>
    </w:p>
    <w:p w:rsidR="004E0BB1" w:rsidRDefault="004E0BB1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83144" w:rsidRDefault="00E83144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sectPr w:rsidR="00E83144" w:rsidSect="004E0BB1">
      <w:pgSz w:w="11907" w:h="16840" w:code="9"/>
      <w:pgMar w:top="567" w:right="567" w:bottom="567" w:left="56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94B" w:rsidRDefault="00F0694B" w:rsidP="00F0242E">
      <w:pPr>
        <w:spacing w:after="0" w:line="240" w:lineRule="auto"/>
      </w:pPr>
      <w:r>
        <w:separator/>
      </w:r>
    </w:p>
  </w:endnote>
  <w:endnote w:type="continuationSeparator" w:id="0">
    <w:p w:rsidR="00F0694B" w:rsidRDefault="00F0694B" w:rsidP="00F02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irtec Times New Roman Uz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94B" w:rsidRDefault="00F0694B" w:rsidP="00F0242E">
      <w:pPr>
        <w:spacing w:after="0" w:line="240" w:lineRule="auto"/>
      </w:pPr>
      <w:r>
        <w:separator/>
      </w:r>
    </w:p>
  </w:footnote>
  <w:footnote w:type="continuationSeparator" w:id="0">
    <w:p w:rsidR="00F0694B" w:rsidRDefault="00F0694B" w:rsidP="00F02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791025"/>
      <w:docPartObj>
        <w:docPartGallery w:val="Page Numbers (Top of Page)"/>
        <w:docPartUnique/>
      </w:docPartObj>
    </w:sdtPr>
    <w:sdtEndPr>
      <w:rPr>
        <w:rFonts w:ascii="Cambria" w:hAnsi="Cambria"/>
        <w:sz w:val="24"/>
      </w:rPr>
    </w:sdtEndPr>
    <w:sdtContent>
      <w:p w:rsidR="009D432E" w:rsidRPr="00F0242E" w:rsidRDefault="009D432E">
        <w:pPr>
          <w:pStyle w:val="a6"/>
          <w:jc w:val="center"/>
          <w:rPr>
            <w:rFonts w:ascii="Cambria" w:hAnsi="Cambria"/>
            <w:sz w:val="24"/>
          </w:rPr>
        </w:pPr>
        <w:r w:rsidRPr="00F0242E">
          <w:rPr>
            <w:rFonts w:ascii="Cambria" w:hAnsi="Cambria"/>
            <w:sz w:val="24"/>
          </w:rPr>
          <w:fldChar w:fldCharType="begin"/>
        </w:r>
        <w:r w:rsidRPr="00F0242E">
          <w:rPr>
            <w:rFonts w:ascii="Cambria" w:hAnsi="Cambria"/>
            <w:sz w:val="24"/>
          </w:rPr>
          <w:instrText>PAGE   \* MERGEFORMAT</w:instrText>
        </w:r>
        <w:r w:rsidRPr="00F0242E">
          <w:rPr>
            <w:rFonts w:ascii="Cambria" w:hAnsi="Cambria"/>
            <w:sz w:val="24"/>
          </w:rPr>
          <w:fldChar w:fldCharType="separate"/>
        </w:r>
        <w:r w:rsidR="00987F84" w:rsidRPr="00987F84">
          <w:rPr>
            <w:rFonts w:ascii="Cambria" w:hAnsi="Cambria"/>
            <w:noProof/>
            <w:sz w:val="24"/>
            <w:lang w:val="ru-RU"/>
          </w:rPr>
          <w:t>5</w:t>
        </w:r>
        <w:r w:rsidRPr="00F0242E">
          <w:rPr>
            <w:rFonts w:ascii="Cambria" w:hAnsi="Cambria"/>
            <w:sz w:val="24"/>
          </w:rPr>
          <w:fldChar w:fldCharType="end"/>
        </w:r>
      </w:p>
    </w:sdtContent>
  </w:sdt>
  <w:p w:rsidR="009D432E" w:rsidRDefault="009D432E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5476385"/>
      <w:docPartObj>
        <w:docPartGallery w:val="Page Numbers (Top of Page)"/>
        <w:docPartUnique/>
      </w:docPartObj>
    </w:sdtPr>
    <w:sdtEndPr>
      <w:rPr>
        <w:rFonts w:ascii="Cambria" w:hAnsi="Cambria"/>
        <w:sz w:val="24"/>
      </w:rPr>
    </w:sdtEndPr>
    <w:sdtContent>
      <w:p w:rsidR="009D432E" w:rsidRPr="00F0242E" w:rsidRDefault="009D432E">
        <w:pPr>
          <w:pStyle w:val="a6"/>
          <w:jc w:val="center"/>
          <w:rPr>
            <w:rFonts w:ascii="Cambria" w:hAnsi="Cambria"/>
            <w:sz w:val="24"/>
          </w:rPr>
        </w:pPr>
        <w:r w:rsidRPr="00F0242E">
          <w:rPr>
            <w:rFonts w:ascii="Cambria" w:hAnsi="Cambria"/>
            <w:sz w:val="24"/>
          </w:rPr>
          <w:fldChar w:fldCharType="begin"/>
        </w:r>
        <w:r w:rsidRPr="00F0242E">
          <w:rPr>
            <w:rFonts w:ascii="Cambria" w:hAnsi="Cambria"/>
            <w:sz w:val="24"/>
          </w:rPr>
          <w:instrText>PAGE   \* MERGEFORMAT</w:instrText>
        </w:r>
        <w:r w:rsidRPr="00F0242E">
          <w:rPr>
            <w:rFonts w:ascii="Cambria" w:hAnsi="Cambria"/>
            <w:sz w:val="24"/>
          </w:rPr>
          <w:fldChar w:fldCharType="separate"/>
        </w:r>
        <w:r w:rsidR="00987F84" w:rsidRPr="00987F84">
          <w:rPr>
            <w:rFonts w:ascii="Cambria" w:hAnsi="Cambria"/>
            <w:noProof/>
            <w:sz w:val="24"/>
            <w:lang w:val="ru-RU"/>
          </w:rPr>
          <w:t>12</w:t>
        </w:r>
        <w:r w:rsidRPr="00F0242E">
          <w:rPr>
            <w:rFonts w:ascii="Cambria" w:hAnsi="Cambria"/>
            <w:sz w:val="24"/>
          </w:rPr>
          <w:fldChar w:fldCharType="end"/>
        </w:r>
      </w:p>
    </w:sdtContent>
  </w:sdt>
  <w:p w:rsidR="009D432E" w:rsidRDefault="009D432E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1ACB"/>
    <w:rsid w:val="000827A3"/>
    <w:rsid w:val="00084075"/>
    <w:rsid w:val="000923CC"/>
    <w:rsid w:val="000A3B73"/>
    <w:rsid w:val="000B38FE"/>
    <w:rsid w:val="000C44D0"/>
    <w:rsid w:val="000D34F9"/>
    <w:rsid w:val="000D57A8"/>
    <w:rsid w:val="000E01F8"/>
    <w:rsid w:val="000F3883"/>
    <w:rsid w:val="00100402"/>
    <w:rsid w:val="0010065B"/>
    <w:rsid w:val="00100D5B"/>
    <w:rsid w:val="00122581"/>
    <w:rsid w:val="0013226C"/>
    <w:rsid w:val="00146607"/>
    <w:rsid w:val="00173986"/>
    <w:rsid w:val="001A3DAE"/>
    <w:rsid w:val="001B6942"/>
    <w:rsid w:val="001D2723"/>
    <w:rsid w:val="002020FE"/>
    <w:rsid w:val="002042DB"/>
    <w:rsid w:val="002072B7"/>
    <w:rsid w:val="00224EC9"/>
    <w:rsid w:val="00243950"/>
    <w:rsid w:val="00282BC6"/>
    <w:rsid w:val="00286288"/>
    <w:rsid w:val="00287E89"/>
    <w:rsid w:val="002A0AFC"/>
    <w:rsid w:val="002A4F16"/>
    <w:rsid w:val="002B1F00"/>
    <w:rsid w:val="002D1BD5"/>
    <w:rsid w:val="002D4991"/>
    <w:rsid w:val="003046BB"/>
    <w:rsid w:val="00313D77"/>
    <w:rsid w:val="00327AC7"/>
    <w:rsid w:val="00376A44"/>
    <w:rsid w:val="00396048"/>
    <w:rsid w:val="003B5ABC"/>
    <w:rsid w:val="003C2CF1"/>
    <w:rsid w:val="003E17E3"/>
    <w:rsid w:val="00430E42"/>
    <w:rsid w:val="004338D4"/>
    <w:rsid w:val="00451654"/>
    <w:rsid w:val="00451851"/>
    <w:rsid w:val="00465005"/>
    <w:rsid w:val="00471975"/>
    <w:rsid w:val="004A4104"/>
    <w:rsid w:val="004C2327"/>
    <w:rsid w:val="004C6179"/>
    <w:rsid w:val="004C72C9"/>
    <w:rsid w:val="004D7314"/>
    <w:rsid w:val="004E0BB1"/>
    <w:rsid w:val="004E199C"/>
    <w:rsid w:val="004E4183"/>
    <w:rsid w:val="004F14CF"/>
    <w:rsid w:val="004F3135"/>
    <w:rsid w:val="00505110"/>
    <w:rsid w:val="0051556F"/>
    <w:rsid w:val="00521E48"/>
    <w:rsid w:val="00530B61"/>
    <w:rsid w:val="00544D6C"/>
    <w:rsid w:val="00544F16"/>
    <w:rsid w:val="00561ACB"/>
    <w:rsid w:val="005632BD"/>
    <w:rsid w:val="00590EBB"/>
    <w:rsid w:val="005D750C"/>
    <w:rsid w:val="005F7A3E"/>
    <w:rsid w:val="006108EB"/>
    <w:rsid w:val="00645E66"/>
    <w:rsid w:val="00647B27"/>
    <w:rsid w:val="006572F6"/>
    <w:rsid w:val="006819AF"/>
    <w:rsid w:val="006C5748"/>
    <w:rsid w:val="006D19B5"/>
    <w:rsid w:val="006D3C8C"/>
    <w:rsid w:val="006D5583"/>
    <w:rsid w:val="007115FB"/>
    <w:rsid w:val="00767629"/>
    <w:rsid w:val="00767A00"/>
    <w:rsid w:val="00780702"/>
    <w:rsid w:val="00781987"/>
    <w:rsid w:val="007921E8"/>
    <w:rsid w:val="007A2558"/>
    <w:rsid w:val="007B00FC"/>
    <w:rsid w:val="007B08DA"/>
    <w:rsid w:val="007B5333"/>
    <w:rsid w:val="00820F87"/>
    <w:rsid w:val="008259E7"/>
    <w:rsid w:val="00844F2B"/>
    <w:rsid w:val="00856336"/>
    <w:rsid w:val="00883827"/>
    <w:rsid w:val="008A43F2"/>
    <w:rsid w:val="008D106E"/>
    <w:rsid w:val="008D62FD"/>
    <w:rsid w:val="008F7222"/>
    <w:rsid w:val="00907C9E"/>
    <w:rsid w:val="00917D6E"/>
    <w:rsid w:val="00937AE3"/>
    <w:rsid w:val="00945554"/>
    <w:rsid w:val="00970A93"/>
    <w:rsid w:val="00987F84"/>
    <w:rsid w:val="009902AE"/>
    <w:rsid w:val="009A7D42"/>
    <w:rsid w:val="009C7DB0"/>
    <w:rsid w:val="009D3FCF"/>
    <w:rsid w:val="009D432E"/>
    <w:rsid w:val="009F7034"/>
    <w:rsid w:val="00A04A61"/>
    <w:rsid w:val="00A11CE2"/>
    <w:rsid w:val="00A366B4"/>
    <w:rsid w:val="00A65C3F"/>
    <w:rsid w:val="00A829AF"/>
    <w:rsid w:val="00AA40C7"/>
    <w:rsid w:val="00AA5650"/>
    <w:rsid w:val="00AA6B09"/>
    <w:rsid w:val="00AC6C56"/>
    <w:rsid w:val="00AD0F1C"/>
    <w:rsid w:val="00AD33F8"/>
    <w:rsid w:val="00AE17E4"/>
    <w:rsid w:val="00AE6844"/>
    <w:rsid w:val="00AF2185"/>
    <w:rsid w:val="00B07D1E"/>
    <w:rsid w:val="00B13D02"/>
    <w:rsid w:val="00B47351"/>
    <w:rsid w:val="00B96CF8"/>
    <w:rsid w:val="00BA6B5F"/>
    <w:rsid w:val="00BE3EA9"/>
    <w:rsid w:val="00C06D43"/>
    <w:rsid w:val="00C07FED"/>
    <w:rsid w:val="00C331E3"/>
    <w:rsid w:val="00CA67E5"/>
    <w:rsid w:val="00CB27CA"/>
    <w:rsid w:val="00CD571F"/>
    <w:rsid w:val="00CD7092"/>
    <w:rsid w:val="00CE6C77"/>
    <w:rsid w:val="00CE700E"/>
    <w:rsid w:val="00CF15E5"/>
    <w:rsid w:val="00D1140A"/>
    <w:rsid w:val="00D345B1"/>
    <w:rsid w:val="00D3701D"/>
    <w:rsid w:val="00D416BF"/>
    <w:rsid w:val="00D4517E"/>
    <w:rsid w:val="00D67698"/>
    <w:rsid w:val="00DA5668"/>
    <w:rsid w:val="00DD1E98"/>
    <w:rsid w:val="00DD38A7"/>
    <w:rsid w:val="00DF2D12"/>
    <w:rsid w:val="00DF390F"/>
    <w:rsid w:val="00E23961"/>
    <w:rsid w:val="00E30C2E"/>
    <w:rsid w:val="00E56589"/>
    <w:rsid w:val="00E6518C"/>
    <w:rsid w:val="00E813D5"/>
    <w:rsid w:val="00E83144"/>
    <w:rsid w:val="00E97F24"/>
    <w:rsid w:val="00EA799F"/>
    <w:rsid w:val="00EB51BC"/>
    <w:rsid w:val="00EB6664"/>
    <w:rsid w:val="00ED249E"/>
    <w:rsid w:val="00EF2B64"/>
    <w:rsid w:val="00F0242E"/>
    <w:rsid w:val="00F0694B"/>
    <w:rsid w:val="00F4180D"/>
    <w:rsid w:val="00F560AA"/>
    <w:rsid w:val="00F76C9D"/>
    <w:rsid w:val="00FA111C"/>
    <w:rsid w:val="00FB3F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D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84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C5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574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02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0242E"/>
  </w:style>
  <w:style w:type="paragraph" w:styleId="a8">
    <w:name w:val="footer"/>
    <w:basedOn w:val="a"/>
    <w:link w:val="a9"/>
    <w:uiPriority w:val="99"/>
    <w:unhideWhenUsed/>
    <w:rsid w:val="00F02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0242E"/>
  </w:style>
  <w:style w:type="table" w:styleId="aa">
    <w:name w:val="Table Grid"/>
    <w:basedOn w:val="a1"/>
    <w:uiPriority w:val="59"/>
    <w:rsid w:val="004338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84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C5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574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02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0242E"/>
  </w:style>
  <w:style w:type="paragraph" w:styleId="a8">
    <w:name w:val="footer"/>
    <w:basedOn w:val="a"/>
    <w:link w:val="a9"/>
    <w:uiPriority w:val="99"/>
    <w:unhideWhenUsed/>
    <w:rsid w:val="00F02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0242E"/>
  </w:style>
  <w:style w:type="table" w:styleId="aa">
    <w:name w:val="Table Grid"/>
    <w:basedOn w:val="a1"/>
    <w:uiPriority w:val="59"/>
    <w:rsid w:val="004338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1391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Ilyos Shaymardanov</dc:creator>
  <cp:lastModifiedBy>XTreme.ws</cp:lastModifiedBy>
  <cp:revision>16</cp:revision>
  <cp:lastPrinted>2021-01-29T12:20:00Z</cp:lastPrinted>
  <dcterms:created xsi:type="dcterms:W3CDTF">2021-01-29T11:32:00Z</dcterms:created>
  <dcterms:modified xsi:type="dcterms:W3CDTF">2021-02-02T12:19:00Z</dcterms:modified>
</cp:coreProperties>
</file>