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center"/>
        <w:rPr>
          <w:rFonts w:ascii="Arial" w:cs="Arial" w:hAnsi="Arial"/>
          <w:b/>
          <w:sz w:val="24"/>
          <w:szCs w:val="24"/>
          <w:lang w:val="uz-Cyrl-UZ"/>
        </w:rPr>
      </w:pPr>
      <w:r>
        <w:rPr>
          <w:rFonts w:ascii="Arial" w:cs="Arial" w:hAnsi="Arial"/>
          <w:b/>
          <w:sz w:val="24"/>
          <w:szCs w:val="24"/>
          <w:lang w:val="uz-Cyrl-UZ"/>
        </w:rPr>
        <w:t xml:space="preserve">Аҳолига тиббий хизмат кўрсатиш сифати ва самарадорлигини ошириш </w:t>
      </w:r>
      <w:r>
        <w:rPr>
          <w:rFonts w:ascii="Arial" w:cs="Arial" w:hAnsi="Arial"/>
          <w:b/>
          <w:sz w:val="24"/>
          <w:szCs w:val="24"/>
          <w:lang w:val="uz-Cyrl-UZ"/>
        </w:rPr>
        <w:br/>
      </w:r>
      <w:r>
        <w:rPr>
          <w:rFonts w:ascii="Arial" w:cs="Arial" w:hAnsi="Arial"/>
          <w:b/>
          <w:sz w:val="24"/>
          <w:szCs w:val="24"/>
          <w:lang w:val="uz-Cyrl-UZ"/>
        </w:rPr>
        <w:t xml:space="preserve">борасида амалга оширилаётган ишларнинг ҳолатини ўрганиш давомида </w:t>
      </w:r>
      <w:r>
        <w:rPr>
          <w:rFonts w:ascii="Arial" w:cs="Arial" w:hAnsi="Arial"/>
          <w:b/>
          <w:sz w:val="24"/>
          <w:szCs w:val="24"/>
          <w:lang w:val="uz-Cyrl-UZ"/>
        </w:rPr>
        <w:br/>
      </w:r>
      <w:r>
        <w:rPr>
          <w:rFonts w:ascii="Arial" w:cs="Arial" w:hAnsi="Arial"/>
          <w:b/>
          <w:sz w:val="24"/>
          <w:szCs w:val="24"/>
          <w:highlight w:val="green"/>
          <w:lang w:val="uz-Cyrl-UZ"/>
        </w:rPr>
        <w:t xml:space="preserve">аниқланган муаммоларни </w:t>
      </w:r>
      <w:r>
        <w:rPr>
          <w:rFonts w:ascii="Arial" w:cs="Arial" w:hAnsi="Arial"/>
          <w:b/>
          <w:sz w:val="24"/>
          <w:szCs w:val="24"/>
          <w:highlight w:val="green"/>
          <w:lang w:val="uz-Cyrl-UZ"/>
        </w:rPr>
        <w:t>ҳал этиш</w:t>
      </w:r>
      <w:r>
        <w:rPr>
          <w:rFonts w:ascii="Arial" w:cs="Arial" w:hAnsi="Arial"/>
          <w:b/>
          <w:sz w:val="24"/>
          <w:szCs w:val="24"/>
          <w:lang w:val="uz-Cyrl-UZ"/>
        </w:rPr>
        <w:t xml:space="preserve"> </w:t>
      </w:r>
      <w:r>
        <w:rPr>
          <w:rFonts w:ascii="Arial" w:cs="Arial" w:hAnsi="Arial"/>
          <w:b/>
          <w:sz w:val="24"/>
          <w:szCs w:val="24"/>
          <w:lang w:val="uz-Cyrl-UZ"/>
        </w:rPr>
        <w:t xml:space="preserve">бўйича </w:t>
      </w:r>
    </w:p>
    <w:p>
      <w:pPr>
        <w:pStyle w:val="style0"/>
        <w:spacing w:after="0" w:lineRule="auto" w:line="240"/>
        <w:jc w:val="center"/>
        <w:rPr>
          <w:rFonts w:ascii="Arial" w:cs="Arial" w:hAnsi="Arial"/>
          <w:b/>
          <w:sz w:val="24"/>
          <w:szCs w:val="24"/>
          <w:lang w:val="uz-Cyrl-UZ"/>
        </w:rPr>
      </w:pPr>
    </w:p>
    <w:bookmarkStart w:id="0" w:name="_GoBack"/>
    <w:bookmarkEnd w:id="0"/>
    <w:p>
      <w:pPr>
        <w:pStyle w:val="style0"/>
        <w:spacing w:after="0" w:lineRule="auto" w:line="240"/>
        <w:jc w:val="center"/>
        <w:rPr>
          <w:rFonts w:ascii="Arial" w:cs="Arial" w:hAnsi="Arial"/>
          <w:b/>
          <w:sz w:val="24"/>
          <w:szCs w:val="24"/>
          <w:lang w:val="uz-Cyrl-UZ"/>
        </w:rPr>
      </w:pPr>
      <w:r>
        <w:rPr>
          <w:rFonts w:ascii="Arial" w:cs="Arial" w:hAnsi="Arial"/>
          <w:b/>
          <w:sz w:val="24"/>
          <w:szCs w:val="24"/>
          <w:lang w:val="uz-Cyrl-UZ"/>
        </w:rPr>
        <w:t>“ЙЎЛ ХАРИТАСИ”</w:t>
      </w:r>
    </w:p>
    <w:p>
      <w:pPr>
        <w:pStyle w:val="style0"/>
        <w:spacing w:after="0" w:lineRule="auto" w:line="240"/>
        <w:jc w:val="right"/>
        <w:rPr>
          <w:rFonts w:ascii="Arial" w:cs="Arial" w:hAnsi="Arial"/>
          <w:i/>
          <w:sz w:val="24"/>
          <w:szCs w:val="24"/>
          <w:lang w:val="uz-Cyrl-UZ"/>
        </w:rPr>
      </w:pPr>
    </w:p>
    <w:tbl>
      <w:tblPr>
        <w:tblStyle w:val="style154"/>
        <w:tblW w:w="15706" w:type="dxa"/>
        <w:jc w:val="center"/>
        <w:tblLayout w:type="fixed"/>
        <w:tblCellMar>
          <w:top w:w="57" w:type="dxa"/>
          <w:bottom w:w="57" w:type="dxa"/>
        </w:tblCellMar>
        <w:tblLook w:val="04A0" w:firstRow="1" w:lastRow="0" w:firstColumn="1" w:lastColumn="0" w:noHBand="0" w:noVBand="1"/>
      </w:tblPr>
      <w:tblGrid>
        <w:gridCol w:w="526"/>
        <w:gridCol w:w="4882"/>
        <w:gridCol w:w="5703"/>
        <w:gridCol w:w="4595"/>
      </w:tblGrid>
      <w:tr>
        <w:trPr>
          <w:trHeight w:val="328" w:hRule="atLeast"/>
          <w:jc w:val="center"/>
        </w:trPr>
        <w:tc>
          <w:tcPr>
            <w:tcW w:w="526" w:type="dxa"/>
            <w:tcBorders/>
            <w:shd w:val="clear" w:color="auto" w:fill="f2f2f2"/>
            <w:tcMar>
              <w:top w:w="113" w:type="dxa"/>
              <w:bottom w:w="113" w:type="dxa"/>
            </w:tcMar>
            <w:vAlign w:val="center"/>
          </w:tcPr>
          <w:p>
            <w:pPr>
              <w:pStyle w:val="style0"/>
              <w:jc w:val="center"/>
              <w:rPr>
                <w:rFonts w:ascii="Arial" w:cs="Arial" w:hAnsi="Arial"/>
                <w:b/>
                <w:sz w:val="24"/>
                <w:szCs w:val="24"/>
                <w:lang w:val="uz-Cyrl-UZ"/>
              </w:rPr>
            </w:pPr>
            <w:r>
              <w:rPr>
                <w:rFonts w:ascii="Arial" w:cs="Arial" w:hAnsi="Arial"/>
                <w:b/>
                <w:sz w:val="24"/>
                <w:szCs w:val="24"/>
                <w:lang w:val="uz-Cyrl-UZ"/>
              </w:rPr>
              <w:t>№</w:t>
            </w:r>
          </w:p>
        </w:tc>
        <w:tc>
          <w:tcPr>
            <w:tcW w:w="4882" w:type="dxa"/>
            <w:tcBorders/>
            <w:shd w:val="clear" w:color="auto" w:fill="f2f2f2"/>
            <w:tcMar>
              <w:top w:w="113" w:type="dxa"/>
              <w:bottom w:w="113" w:type="dxa"/>
            </w:tcMar>
            <w:vAlign w:val="center"/>
          </w:tcPr>
          <w:p>
            <w:pPr>
              <w:pStyle w:val="style0"/>
              <w:jc w:val="center"/>
              <w:rPr>
                <w:rFonts w:ascii="Arial" w:cs="Arial" w:hAnsi="Arial"/>
                <w:b/>
                <w:sz w:val="24"/>
                <w:szCs w:val="24"/>
                <w:lang w:val="uz-Cyrl-UZ"/>
              </w:rPr>
            </w:pPr>
            <w:r>
              <w:rPr>
                <w:rFonts w:ascii="Arial" w:cs="Arial" w:hAnsi="Arial"/>
                <w:b/>
                <w:sz w:val="24"/>
                <w:szCs w:val="24"/>
                <w:lang w:val="uz-Cyrl-UZ"/>
              </w:rPr>
              <w:t>Белгиланган вазифа</w:t>
            </w:r>
            <w:r>
              <w:rPr>
                <w:rFonts w:ascii="Arial" w:cs="Arial" w:hAnsi="Arial"/>
                <w:b/>
                <w:sz w:val="24"/>
                <w:szCs w:val="24"/>
                <w:lang w:val="uz-Cyrl-UZ"/>
              </w:rPr>
              <w:t xml:space="preserve"> </w:t>
            </w:r>
          </w:p>
          <w:p>
            <w:pPr>
              <w:pStyle w:val="style0"/>
              <w:jc w:val="center"/>
              <w:rPr>
                <w:rFonts w:ascii="Arial" w:cs="Arial" w:hAnsi="Arial"/>
                <w:b/>
                <w:sz w:val="24"/>
                <w:szCs w:val="24"/>
                <w:lang w:val="uz-Cyrl-UZ"/>
              </w:rPr>
            </w:pPr>
            <w:r>
              <w:rPr>
                <w:rFonts w:ascii="Arial" w:cs="Arial" w:hAnsi="Arial"/>
                <w:i/>
                <w:szCs w:val="24"/>
                <w:lang w:val="uz-Cyrl-UZ"/>
              </w:rPr>
              <w:t>(Президент фармонлари, қарорлари ва бошқа ҳужжатларда)</w:t>
            </w:r>
          </w:p>
        </w:tc>
        <w:tc>
          <w:tcPr>
            <w:tcW w:w="5703" w:type="dxa"/>
            <w:tcBorders/>
            <w:shd w:val="clear" w:color="auto" w:fill="f2f2f2"/>
            <w:tcMar>
              <w:top w:w="113" w:type="dxa"/>
              <w:bottom w:w="113" w:type="dxa"/>
            </w:tcMar>
            <w:vAlign w:val="center"/>
          </w:tcPr>
          <w:p>
            <w:pPr>
              <w:pStyle w:val="style0"/>
              <w:jc w:val="center"/>
              <w:rPr>
                <w:rFonts w:ascii="Arial" w:cs="Arial" w:hAnsi="Arial"/>
                <w:b/>
                <w:sz w:val="24"/>
                <w:szCs w:val="24"/>
                <w:lang w:val="uz-Cyrl-UZ"/>
              </w:rPr>
            </w:pPr>
            <w:r>
              <w:rPr>
                <w:rFonts w:ascii="Arial" w:cs="Arial" w:hAnsi="Arial"/>
                <w:b/>
                <w:sz w:val="24"/>
                <w:szCs w:val="24"/>
                <w:lang w:val="uz-Cyrl-UZ"/>
              </w:rPr>
              <w:t>Мавжуд муаммо</w:t>
            </w:r>
          </w:p>
          <w:p>
            <w:pPr>
              <w:pStyle w:val="style0"/>
              <w:jc w:val="center"/>
              <w:rPr>
                <w:rFonts w:ascii="Arial" w:cs="Arial" w:hAnsi="Arial"/>
                <w:i/>
                <w:sz w:val="24"/>
                <w:szCs w:val="24"/>
                <w:lang w:val="uz-Cyrl-UZ"/>
              </w:rPr>
            </w:pPr>
            <w:r>
              <w:rPr>
                <w:rFonts w:ascii="Arial" w:cs="Arial" w:hAnsi="Arial"/>
                <w:i/>
                <w:szCs w:val="24"/>
                <w:lang w:val="uz-Cyrl-UZ"/>
              </w:rPr>
              <w:t>(белгиланган вазифани амалга оширишдаги муаммолар, статистик кўрсатгичлар, аҳоли ва шифокорлар</w:t>
            </w:r>
            <w:r>
              <w:rPr>
                <w:rFonts w:ascii="Arial" w:cs="Arial" w:hAnsi="Arial"/>
                <w:i/>
                <w:szCs w:val="24"/>
                <w:lang w:val="uz-Cyrl-UZ"/>
              </w:rPr>
              <w:t>нинг</w:t>
            </w:r>
            <w:r>
              <w:rPr>
                <w:rFonts w:ascii="Arial" w:cs="Arial" w:hAnsi="Arial"/>
                <w:i/>
                <w:szCs w:val="24"/>
                <w:lang w:val="uz-Cyrl-UZ"/>
              </w:rPr>
              <w:t xml:space="preserve"> таклифлари </w:t>
            </w:r>
            <w:r>
              <w:rPr>
                <w:rFonts w:ascii="Arial" w:cs="Arial" w:hAnsi="Arial"/>
                <w:i/>
                <w:szCs w:val="24"/>
                <w:lang w:val="uz-Cyrl-UZ"/>
              </w:rPr>
              <w:t>асосида</w:t>
            </w:r>
            <w:r>
              <w:rPr>
                <w:rFonts w:ascii="Arial" w:cs="Arial" w:hAnsi="Arial"/>
                <w:i/>
                <w:szCs w:val="24"/>
                <w:lang w:val="uz-Cyrl-UZ"/>
              </w:rPr>
              <w:t xml:space="preserve"> асослаш лозим)</w:t>
            </w:r>
          </w:p>
        </w:tc>
        <w:tc>
          <w:tcPr>
            <w:tcW w:w="4595" w:type="dxa"/>
            <w:tcBorders/>
            <w:shd w:val="clear" w:color="auto" w:fill="f2f2f2"/>
            <w:tcMar>
              <w:top w:w="113" w:type="dxa"/>
              <w:bottom w:w="113" w:type="dxa"/>
            </w:tcMar>
            <w:vAlign w:val="center"/>
          </w:tcPr>
          <w:p>
            <w:pPr>
              <w:pStyle w:val="style0"/>
              <w:jc w:val="center"/>
              <w:rPr>
                <w:rFonts w:ascii="Arial" w:cs="Arial" w:hAnsi="Arial"/>
                <w:b/>
                <w:sz w:val="24"/>
                <w:szCs w:val="24"/>
                <w:lang w:val="uz-Cyrl-UZ"/>
              </w:rPr>
            </w:pPr>
            <w:r>
              <w:rPr>
                <w:rFonts w:ascii="Arial" w:cs="Arial" w:hAnsi="Arial"/>
                <w:b/>
                <w:sz w:val="24"/>
                <w:szCs w:val="24"/>
                <w:lang w:val="uz-Cyrl-UZ"/>
              </w:rPr>
              <w:t>Муаммони ҳал этиш механизми</w:t>
            </w:r>
            <w:r>
              <w:rPr>
                <w:rFonts w:ascii="Arial" w:cs="Arial" w:hAnsi="Arial"/>
                <w:b/>
                <w:sz w:val="24"/>
                <w:szCs w:val="24"/>
                <w:lang w:val="uz-Cyrl-UZ"/>
              </w:rPr>
              <w:t xml:space="preserve"> </w:t>
            </w:r>
            <w:r>
              <w:rPr>
                <w:rFonts w:ascii="Arial" w:cs="Arial" w:hAnsi="Arial"/>
                <w:i/>
                <w:szCs w:val="24"/>
                <w:lang w:val="uz-Cyrl-UZ"/>
              </w:rPr>
              <w:t>(таклиф</w:t>
            </w:r>
            <w:r>
              <w:rPr>
                <w:rFonts w:ascii="Arial" w:cs="Arial" w:hAnsi="Arial"/>
                <w:i/>
                <w:szCs w:val="24"/>
                <w:lang w:val="uz-Cyrl-UZ"/>
              </w:rPr>
              <w:t>лар</w:t>
            </w:r>
            <w:r>
              <w:rPr>
                <w:rFonts w:ascii="Arial" w:cs="Arial" w:hAnsi="Arial"/>
                <w:i/>
                <w:szCs w:val="24"/>
                <w:lang w:val="uz-Cyrl-UZ"/>
              </w:rPr>
              <w:t>)</w:t>
            </w:r>
          </w:p>
        </w:tc>
      </w:tr>
      <w:tr>
        <w:tblPrEx/>
        <w:trPr>
          <w:trHeight w:val="4063" w:hRule="atLeast"/>
          <w:jc w:val="center"/>
        </w:trPr>
        <w:tc>
          <w:tcPr>
            <w:tcW w:w="526" w:type="dxa"/>
            <w:tcBorders/>
            <w:shd w:val="clear" w:color="auto" w:fill="auto"/>
            <w:tcMar>
              <w:top w:w="113" w:type="dxa"/>
              <w:bottom w:w="113" w:type="dxa"/>
            </w:tcMar>
          </w:tcPr>
          <w:p>
            <w:pPr>
              <w:pStyle w:val="style179"/>
              <w:numPr>
                <w:ilvl w:val="0"/>
                <w:numId w:val="1"/>
              </w:numPr>
              <w:ind w:left="0" w:firstLine="0"/>
              <w:jc w:val="center"/>
              <w:rPr>
                <w:rFonts w:ascii="Arial" w:cs="Arial" w:hAnsi="Arial"/>
                <w:b/>
                <w:sz w:val="24"/>
                <w:lang w:val="uz-Cyrl-UZ"/>
              </w:rPr>
            </w:pPr>
          </w:p>
        </w:tc>
        <w:tc>
          <w:tcPr>
            <w:tcW w:w="4882" w:type="dxa"/>
            <w:tcBorders/>
            <w:shd w:val="clear" w:color="auto" w:fill="auto"/>
            <w:tcMar>
              <w:top w:w="113" w:type="dxa"/>
              <w:bottom w:w="113" w:type="dxa"/>
            </w:tcMar>
          </w:tcPr>
          <w:p>
            <w:pPr>
              <w:pStyle w:val="style179"/>
              <w:tabs>
                <w:tab w:val="left" w:leader="none" w:pos="4962"/>
                <w:tab w:val="left" w:leader="none" w:pos="8647"/>
              </w:tabs>
              <w:ind w:left="0" w:firstLine="227"/>
              <w:jc w:val="both"/>
              <w:contextualSpacing w:val="false"/>
              <w:rPr>
                <w:rFonts w:ascii="Arial" w:cs="Arial" w:hAnsi="Arial"/>
                <w:spacing w:val="-4"/>
                <w:sz w:val="24"/>
                <w:lang w:val="uz-Cyrl-UZ"/>
              </w:rPr>
            </w:pPr>
            <w:r>
              <w:rPr>
                <w:rFonts w:cs="Arial" w:hAnsi="Arial"/>
                <w:spacing w:val="-4"/>
                <w:sz w:val="24"/>
                <w:lang w:val="en-US"/>
              </w:rPr>
              <w:t>Ўзбекистон Республикаси Президентининг 2020 йил 12 ноябрдаги  ПФ-6110 "Бирламчи тиббий-санитария ёрдами муассасалари фаолиятига мутлақо янги механизмларни жорий қилиш ва соғлиқни сақлаш тизимида олиб борилаётган ислоҳотлар самарадоршигини янада ошириш чора-тадбирлари тўғрисида" ги фармонида Оилавий шифокорга ёрдам берадиган терапия, педиатрия, акушерлик, патронж бўйича ўрта тиббиёт ходимларидан иборат бўлган "тиббиёт бригадалари"ташкил қилинади   деб белгиланган.</w:t>
            </w:r>
          </w:p>
        </w:tc>
        <w:tc>
          <w:tcPr>
            <w:tcW w:w="5703" w:type="dxa"/>
            <w:tcBorders/>
            <w:shd w:val="clear" w:color="auto" w:fill="auto"/>
            <w:tcMar>
              <w:top w:w="113" w:type="dxa"/>
              <w:bottom w:w="113" w:type="dxa"/>
            </w:tcMar>
            <w:vAlign w:val="center"/>
          </w:tcPr>
          <w:p>
            <w:pPr>
              <w:pStyle w:val="style0"/>
              <w:ind w:firstLine="227"/>
              <w:jc w:val="both"/>
              <w:rPr>
                <w:rFonts w:ascii="Arial" w:cs="Arial" w:hAnsi="Arial"/>
                <w:spacing w:val="-4"/>
                <w:sz w:val="24"/>
                <w:szCs w:val="24"/>
                <w:lang w:val="uz-Cyrl-UZ"/>
              </w:rPr>
            </w:pPr>
            <w:r>
              <w:rPr>
                <w:rFonts w:ascii="Arial" w:cs="Arial" w:hAnsi="Arial"/>
                <w:spacing w:val="-4"/>
                <w:sz w:val="24"/>
                <w:szCs w:val="24"/>
                <w:lang w:val="en-US"/>
              </w:rPr>
              <w:t>Бирламчи тиббий-санитария ёрдами муассасаларида  акушерликлик штати етарли эмас. Мисол учун, Андижон вилояти Избоскан тумани 27-Оилавий поликлиникасида 0,25 штатидаги акушерка 4 та "тиббиёт бригада"ларига бириктирилган.</w:t>
            </w:r>
          </w:p>
        </w:tc>
        <w:tc>
          <w:tcPr>
            <w:tcW w:w="4595" w:type="dxa"/>
            <w:tcBorders/>
            <w:tcMar>
              <w:top w:w="113" w:type="dxa"/>
              <w:bottom w:w="113" w:type="dxa"/>
            </w:tcMar>
            <w:vAlign w:val="center"/>
          </w:tcPr>
          <w:p>
            <w:pPr>
              <w:pStyle w:val="style0"/>
              <w:tabs>
                <w:tab w:val="left" w:leader="none" w:pos="33"/>
                <w:tab w:val="left" w:leader="none" w:pos="4678"/>
              </w:tabs>
              <w:jc w:val="both"/>
              <w:contextualSpacing/>
              <w:rPr>
                <w:rFonts w:ascii="Arial" w:cs="Arial" w:eastAsia="Times New Roman" w:hAnsi="Arial"/>
                <w:spacing w:val="-4"/>
                <w:sz w:val="24"/>
                <w:szCs w:val="24"/>
                <w:lang w:val="en-US" w:eastAsia="ru-RU"/>
              </w:rPr>
            </w:pPr>
            <w:r>
              <w:rPr>
                <w:rFonts w:ascii="Arial" w:cs="Arial" w:eastAsia="Times New Roman" w:hAnsi="Arial"/>
                <w:spacing w:val="-4"/>
                <w:sz w:val="24"/>
                <w:szCs w:val="24"/>
                <w:lang w:val="en-US" w:eastAsia="ru-RU"/>
              </w:rPr>
              <w:t> Бирламчи тиббий-санитария  ёрдами муассасаларида "тиббиёт бригадалари" таркибидаги акушерка штатларини  соҳа мутахассислари билан биргаликда ўрганиш;</w:t>
            </w:r>
          </w:p>
          <w:p>
            <w:pPr>
              <w:pStyle w:val="style0"/>
              <w:tabs>
                <w:tab w:val="left" w:leader="none" w:pos="33"/>
                <w:tab w:val="left" w:leader="none" w:pos="4678"/>
              </w:tabs>
              <w:jc w:val="both"/>
              <w:contextualSpacing/>
              <w:rPr>
                <w:rFonts w:ascii="Arial" w:cs="Arial" w:eastAsia="Times New Roman" w:hAnsi="Arial"/>
                <w:spacing w:val="-4"/>
                <w:sz w:val="24"/>
                <w:szCs w:val="24"/>
                <w:lang w:val="uz-Cyrl-UZ" w:eastAsia="ru-RU"/>
              </w:rPr>
            </w:pPr>
            <w:r>
              <w:rPr>
                <w:rFonts w:ascii="Arial" w:cs="Arial" w:eastAsia="Times New Roman" w:hAnsi="Arial"/>
                <w:spacing w:val="-4"/>
                <w:sz w:val="24"/>
                <w:szCs w:val="24"/>
                <w:lang w:val="en-US" w:eastAsia="ru-RU"/>
              </w:rPr>
              <w:t>Абу Али Ибн Сино номидаги Жамоат техникумлари ва тиббиёт коллежларида оилавий шифокорлар ёрдамчиларини тайёрлаш тизимини жорий қилиш юзасидан асослантирилган таклифлар ишлаб чиқишни таклиф этилади.</w:t>
            </w:r>
          </w:p>
        </w:tc>
      </w:tr>
      <w:tr>
        <w:tblPrEx/>
        <w:trPr>
          <w:trHeight w:val="2235" w:hRule="atLeast"/>
          <w:jc w:val="center"/>
        </w:trPr>
        <w:tc>
          <w:tcPr>
            <w:tcW w:w="526" w:type="dxa"/>
            <w:tcBorders/>
            <w:shd w:val="clear" w:color="auto" w:fill="auto"/>
            <w:tcMar>
              <w:top w:w="113" w:type="dxa"/>
              <w:bottom w:w="113" w:type="dxa"/>
            </w:tcMar>
          </w:tcPr>
          <w:p>
            <w:pPr>
              <w:pStyle w:val="style179"/>
              <w:numPr>
                <w:ilvl w:val="0"/>
                <w:numId w:val="1"/>
              </w:numPr>
              <w:ind w:left="0" w:firstLine="0"/>
              <w:jc w:val="center"/>
              <w:rPr>
                <w:rFonts w:ascii="Arial" w:cs="Arial" w:hAnsi="Arial"/>
                <w:b/>
                <w:sz w:val="24"/>
                <w:lang w:val="uz-Cyrl-UZ"/>
              </w:rPr>
            </w:pPr>
          </w:p>
        </w:tc>
        <w:tc>
          <w:tcPr>
            <w:tcW w:w="4882" w:type="dxa"/>
            <w:tcBorders/>
            <w:shd w:val="clear" w:color="auto" w:fill="auto"/>
            <w:tcMar>
              <w:top w:w="113" w:type="dxa"/>
              <w:bottom w:w="113" w:type="dxa"/>
            </w:tcMar>
          </w:tcPr>
          <w:p>
            <w:pPr>
              <w:pStyle w:val="style179"/>
              <w:tabs>
                <w:tab w:val="left" w:leader="none" w:pos="4962"/>
                <w:tab w:val="left" w:leader="none" w:pos="8647"/>
              </w:tabs>
              <w:ind w:left="0" w:firstLine="227"/>
              <w:jc w:val="both"/>
              <w:contextualSpacing w:val="false"/>
              <w:rPr>
                <w:rFonts w:ascii="Arial" w:cs="Arial" w:hAnsi="Arial"/>
                <w:spacing w:val="-4"/>
                <w:sz w:val="24"/>
                <w:lang w:val="uz-Cyrl-UZ"/>
              </w:rPr>
            </w:pPr>
            <w:r>
              <w:rPr>
                <w:rFonts w:ascii="Arial" w:cs="Arial" w:hAnsi="Arial"/>
                <w:spacing w:val="-4"/>
                <w:sz w:val="24"/>
                <w:lang w:val="en-US"/>
              </w:rPr>
              <w:t>Жойларда тиббий хизмат кўрсатишни соддалаштириш ва рақамлаштириш ҳамда ортиқча қоғозбозликни камайтириш мақсадида "тиббиёт бригадалари" махсус компьютер-планшетлари, мобил тиббиёт-диагностика воситалари билан таъминланади.( ПФ-6110. 12.11.2020 й.)</w:t>
            </w:r>
          </w:p>
        </w:tc>
        <w:tc>
          <w:tcPr>
            <w:tcW w:w="5703" w:type="dxa"/>
            <w:tcBorders/>
            <w:shd w:val="clear" w:color="auto" w:fill="auto"/>
            <w:tcMar>
              <w:top w:w="113" w:type="dxa"/>
              <w:bottom w:w="113" w:type="dxa"/>
            </w:tcMar>
            <w:vAlign w:val="center"/>
          </w:tcPr>
          <w:p>
            <w:pPr>
              <w:pStyle w:val="style0"/>
              <w:ind w:firstLine="227"/>
              <w:jc w:val="both"/>
              <w:rPr>
                <w:rFonts w:ascii="Arial" w:cs="Arial" w:hAnsi="Arial"/>
                <w:spacing w:val="-4"/>
                <w:sz w:val="24"/>
                <w:szCs w:val="24"/>
                <w:lang w:val="uz-Cyrl-UZ"/>
              </w:rPr>
            </w:pPr>
            <w:r>
              <w:rPr>
                <w:rFonts w:ascii="Arial" w:cs="Arial" w:hAnsi="Arial"/>
                <w:spacing w:val="-4"/>
                <w:sz w:val="24"/>
                <w:szCs w:val="24"/>
                <w:lang w:val="en-US"/>
              </w:rPr>
              <w:t>Андижон вилоятининг Избоскан тумани, Олтинкўл тумани, Андижон туманларида ташкил этилган "тиббиёт бригадалари"нинг сифатли фаолияти учун зарур бўладиган мобил тиббий диагностика ускуналари ажратиш ишлари амалга оширилмаган.</w:t>
            </w:r>
          </w:p>
        </w:tc>
        <w:tc>
          <w:tcPr>
            <w:tcW w:w="4595" w:type="dxa"/>
            <w:tcBorders/>
            <w:tcMar>
              <w:top w:w="113" w:type="dxa"/>
              <w:bottom w:w="113" w:type="dxa"/>
            </w:tcMar>
            <w:vAlign w:val="center"/>
          </w:tcPr>
          <w:p>
            <w:pPr>
              <w:pStyle w:val="style0"/>
              <w:tabs>
                <w:tab w:val="left" w:leader="none" w:pos="33"/>
                <w:tab w:val="left" w:leader="none" w:pos="4678"/>
              </w:tabs>
              <w:ind w:firstLine="227"/>
              <w:jc w:val="both"/>
              <w:contextualSpacing/>
              <w:rPr>
                <w:rFonts w:ascii="Arial" w:cs="Arial" w:eastAsia="Times New Roman" w:hAnsi="Arial"/>
                <w:spacing w:val="-4"/>
                <w:sz w:val="24"/>
                <w:szCs w:val="24"/>
                <w:lang w:val="uz-Cyrl-UZ" w:eastAsia="ru-RU"/>
              </w:rPr>
            </w:pPr>
            <w:r>
              <w:rPr>
                <w:rFonts w:ascii="Arial" w:cs="Arial" w:eastAsia="Times New Roman" w:hAnsi="Arial"/>
                <w:spacing w:val="-4"/>
                <w:sz w:val="24"/>
                <w:szCs w:val="24"/>
                <w:lang w:val="en-US" w:eastAsia="ru-RU"/>
              </w:rPr>
              <w:t>Мазкур воситалар хариди Соғлиқни сақлаш вазирлиги томонидан  Молия вазирлиги, Қорақалпоғистон Республикаси Вазирлар Кенгаши, вилоятлар ва Тошкент шаҳар хокимликлари билан биргаликда ажратилган маҳаллий бюджет маблағлари доирасида йил якунига қадар такомиллаштирилган тиббий профилактика ва патронаж тизими устувор равишда жорий қилинаётган 26 та туман ( шаҳар)ларда тўлиқ жорий қилишни таъминлаши белгиланган. Тиббиёт ходимларининг бу борада малакасини оширишлари учун қисқа муддатли ўқишлар ташкил этилиши таклиф этилади.</w:t>
            </w:r>
          </w:p>
        </w:tc>
      </w:tr>
      <w:tr>
        <w:tblPrEx/>
        <w:trPr>
          <w:trHeight w:val="328" w:hRule="atLeast"/>
          <w:jc w:val="center"/>
        </w:trPr>
        <w:tc>
          <w:tcPr>
            <w:tcW w:w="526" w:type="dxa"/>
            <w:tcBorders/>
            <w:shd w:val="clear" w:color="auto" w:fill="auto"/>
            <w:tcMar>
              <w:top w:w="113" w:type="dxa"/>
              <w:bottom w:w="113" w:type="dxa"/>
            </w:tcMar>
          </w:tcPr>
          <w:p>
            <w:pPr>
              <w:pStyle w:val="style179"/>
              <w:numPr>
                <w:ilvl w:val="0"/>
                <w:numId w:val="1"/>
              </w:numPr>
              <w:ind w:left="0" w:firstLine="0"/>
              <w:jc w:val="center"/>
              <w:rPr>
                <w:rFonts w:ascii="Arial" w:cs="Arial" w:hAnsi="Arial"/>
                <w:b/>
                <w:sz w:val="24"/>
                <w:lang w:val="uz-Cyrl-UZ"/>
              </w:rPr>
            </w:pPr>
          </w:p>
        </w:tc>
        <w:tc>
          <w:tcPr>
            <w:tcW w:w="4882" w:type="dxa"/>
            <w:tcBorders/>
            <w:shd w:val="clear" w:color="auto" w:fill="auto"/>
            <w:tcMar>
              <w:top w:w="113" w:type="dxa"/>
              <w:bottom w:w="113" w:type="dxa"/>
            </w:tcMar>
          </w:tcPr>
          <w:p>
            <w:pPr>
              <w:pStyle w:val="style179"/>
              <w:tabs>
                <w:tab w:val="left" w:leader="none" w:pos="4962"/>
                <w:tab w:val="left" w:leader="none" w:pos="8647"/>
              </w:tabs>
              <w:ind w:left="0" w:firstLine="227"/>
              <w:jc w:val="both"/>
              <w:contextualSpacing w:val="false"/>
              <w:rPr>
                <w:rFonts w:ascii="Arial" w:cs="Arial" w:hAnsi="Arial"/>
                <w:spacing w:val="-4"/>
                <w:sz w:val="24"/>
                <w:lang w:val="uz-Cyrl-UZ"/>
              </w:rPr>
            </w:pPr>
            <w:r>
              <w:rPr>
                <w:rFonts w:ascii="Arial" w:cs="Arial" w:hAnsi="Arial"/>
                <w:spacing w:val="-4"/>
                <w:sz w:val="24"/>
                <w:lang w:val="en-US"/>
              </w:rPr>
              <w:t>2021 йил 1 январдан бошлаб қишлоқ врачлик пункти- оилавий шифокор пункти деб, қишлоқ ва шаҳар оилавий поликлиникаси эса оилавий поликлиника деб қайта номланади деб белгиланган.</w:t>
            </w:r>
            <w:r>
              <w:rPr>
                <w:rFonts w:ascii="Arial" w:cs="Arial" w:hAnsi="Arial" w:hint="default"/>
                <w:spacing w:val="-4"/>
                <w:sz w:val="24"/>
                <w:lang w:val="en-US"/>
              </w:rPr>
              <w:t>(</w:t>
            </w:r>
            <w:r>
              <w:rPr>
                <w:rFonts w:ascii="Arial" w:cs="Arial" w:hAnsi="Arial" w:hint="default"/>
                <w:spacing w:val="-4"/>
                <w:sz w:val="24"/>
                <w:lang w:val="en-US"/>
              </w:rPr>
              <w:t xml:space="preserve"> </w:t>
            </w:r>
            <w:r>
              <w:rPr>
                <w:rFonts w:ascii="Arial" w:cs="Arial" w:hAnsi="Arial" w:hint="default"/>
                <w:spacing w:val="-4"/>
                <w:sz w:val="24"/>
                <w:lang w:val="en-US"/>
              </w:rPr>
              <w:t>ПФ-6110.</w:t>
            </w:r>
            <w:r>
              <w:rPr>
                <w:rFonts w:ascii="Arial" w:cs="Arial" w:hAnsi="Arial" w:hint="default"/>
                <w:spacing w:val="-4"/>
                <w:sz w:val="24"/>
                <w:lang w:val="en-US"/>
              </w:rPr>
              <w:t xml:space="preserve"> </w:t>
            </w:r>
            <w:r>
              <w:rPr>
                <w:rFonts w:ascii="Arial" w:cs="Arial" w:hAnsi="Arial" w:hint="default"/>
                <w:spacing w:val="-4"/>
                <w:sz w:val="24"/>
                <w:lang w:val="en-US"/>
              </w:rPr>
              <w:t>12.11.2020</w:t>
            </w:r>
            <w:r>
              <w:rPr>
                <w:rFonts w:ascii="Arial" w:cs="Arial" w:hAnsi="Arial" w:hint="default"/>
                <w:spacing w:val="-4"/>
                <w:sz w:val="24"/>
                <w:lang w:val="en-US"/>
              </w:rPr>
              <w:t xml:space="preserve"> </w:t>
            </w:r>
            <w:r>
              <w:rPr>
                <w:rFonts w:ascii="Arial" w:cs="Arial" w:hAnsi="Arial" w:hint="default"/>
                <w:spacing w:val="-4"/>
                <w:sz w:val="24"/>
                <w:lang w:val="en-US"/>
              </w:rPr>
              <w:t>й.)</w:t>
            </w:r>
          </w:p>
        </w:tc>
        <w:tc>
          <w:tcPr>
            <w:tcW w:w="5703" w:type="dxa"/>
            <w:tcBorders/>
            <w:shd w:val="clear" w:color="auto" w:fill="auto"/>
            <w:tcMar>
              <w:top w:w="113" w:type="dxa"/>
              <w:bottom w:w="113" w:type="dxa"/>
            </w:tcMar>
            <w:vAlign w:val="center"/>
          </w:tcPr>
          <w:p>
            <w:pPr>
              <w:pStyle w:val="style0"/>
              <w:ind w:firstLine="227"/>
              <w:jc w:val="both"/>
              <w:rPr>
                <w:rFonts w:ascii="Arial" w:cs="Arial" w:hAnsi="Arial"/>
                <w:spacing w:val="-4"/>
                <w:sz w:val="24"/>
                <w:szCs w:val="24"/>
                <w:lang w:val="uz-Cyrl-UZ"/>
              </w:rPr>
            </w:pPr>
            <w:r>
              <w:rPr>
                <w:rFonts w:ascii="Arial" w:cs="Arial" w:hAnsi="Arial"/>
                <w:spacing w:val="-4"/>
                <w:sz w:val="24"/>
                <w:szCs w:val="24"/>
                <w:lang w:val="en-US"/>
              </w:rPr>
              <w:t>Андижон вилояти Избоскан туманидаги 27-қишлоқ оилавий поликлиникаси, Олтинкўл туманидаги  Олтинкўл қишлоқ врачлик пунктининг номланиши  оилавий поликлиника ҳамда оилавий шифокор пункти деб қайта номланмаган.</w:t>
            </w:r>
          </w:p>
        </w:tc>
        <w:tc>
          <w:tcPr>
            <w:tcW w:w="4595" w:type="dxa"/>
            <w:tcBorders/>
            <w:tcMar>
              <w:top w:w="113" w:type="dxa"/>
              <w:bottom w:w="113" w:type="dxa"/>
            </w:tcMar>
            <w:vAlign w:val="center"/>
          </w:tcPr>
          <w:p>
            <w:pPr>
              <w:pStyle w:val="style0"/>
              <w:tabs>
                <w:tab w:val="left" w:leader="none" w:pos="33"/>
                <w:tab w:val="left" w:leader="none" w:pos="4678"/>
              </w:tabs>
              <w:ind w:firstLine="227"/>
              <w:jc w:val="both"/>
              <w:contextualSpacing/>
              <w:rPr>
                <w:rFonts w:ascii="Arial" w:cs="Arial" w:eastAsia="Times New Roman" w:hAnsi="Arial"/>
                <w:spacing w:val="-4"/>
                <w:sz w:val="24"/>
                <w:szCs w:val="24"/>
                <w:lang w:val="uz-Cyrl-UZ" w:eastAsia="ru-RU"/>
              </w:rPr>
            </w:pPr>
            <w:r>
              <w:rPr>
                <w:rFonts w:ascii="Arial" w:cs="Arial" w:eastAsia="Times New Roman" w:hAnsi="Arial"/>
                <w:spacing w:val="-4"/>
                <w:sz w:val="24"/>
                <w:szCs w:val="24"/>
                <w:lang w:val="en-US" w:eastAsia="ru-RU"/>
              </w:rPr>
              <w:t>Соғлиқни сақлаш вазирлигининг ПФ-6110. 12.11.2020 й. асосида низом ишлаб чиқилиб соҳага татбиқ этилишини таклиф этилади.</w:t>
            </w:r>
          </w:p>
        </w:tc>
      </w:tr>
      <w:tr>
        <w:tblPrEx/>
        <w:trPr>
          <w:trHeight w:val="328" w:hRule="atLeast"/>
          <w:jc w:val="center"/>
        </w:trPr>
        <w:tc>
          <w:tcPr>
            <w:tcW w:w="526" w:type="dxa"/>
            <w:tcBorders/>
            <w:shd w:val="clear" w:color="auto" w:fill="auto"/>
            <w:tcMar>
              <w:top w:w="113" w:type="dxa"/>
              <w:bottom w:w="113" w:type="dxa"/>
            </w:tcMar>
          </w:tcPr>
          <w:p>
            <w:pPr>
              <w:pStyle w:val="style179"/>
              <w:numPr>
                <w:ilvl w:val="0"/>
                <w:numId w:val="1"/>
              </w:numPr>
              <w:ind w:left="0" w:firstLine="0"/>
              <w:jc w:val="center"/>
              <w:rPr>
                <w:rFonts w:ascii="Arial" w:cs="Arial" w:hAnsi="Arial"/>
                <w:b/>
                <w:sz w:val="24"/>
                <w:lang w:val="uz-Cyrl-UZ"/>
              </w:rPr>
            </w:pPr>
            <w:r>
              <w:rPr>
                <w:rFonts w:ascii="Arial" w:cs="Arial" w:hAnsi="Arial"/>
                <w:b/>
                <w:sz w:val="24"/>
                <w:lang w:val="en-US"/>
              </w:rPr>
              <w:t xml:space="preserve"> </w:t>
            </w:r>
          </w:p>
        </w:tc>
        <w:tc>
          <w:tcPr>
            <w:tcW w:w="4882" w:type="dxa"/>
            <w:tcBorders/>
            <w:shd w:val="clear" w:color="auto" w:fill="auto"/>
            <w:tcMar>
              <w:top w:w="113" w:type="dxa"/>
              <w:bottom w:w="113" w:type="dxa"/>
            </w:tcMar>
          </w:tcPr>
          <w:p>
            <w:pPr>
              <w:pStyle w:val="style179"/>
              <w:tabs>
                <w:tab w:val="left" w:leader="none" w:pos="4962"/>
                <w:tab w:val="left" w:leader="none" w:pos="8647"/>
              </w:tabs>
              <w:ind w:left="0"/>
              <w:jc w:val="both"/>
              <w:contextualSpacing w:val="false"/>
              <w:rPr>
                <w:rFonts w:ascii="Arial" w:cs="Arial" w:hAnsi="Arial"/>
                <w:spacing w:val="-4"/>
                <w:sz w:val="24"/>
                <w:lang w:val="uz-Cyrl-UZ"/>
              </w:rPr>
            </w:pPr>
            <w:r>
              <w:rPr>
                <w:rFonts w:ascii="Arial" w:cs="Arial" w:hAnsi="Arial"/>
                <w:spacing w:val="-4"/>
                <w:sz w:val="24"/>
                <w:lang w:val="en-US"/>
              </w:rPr>
              <w:t xml:space="preserve">         Ўзбекистон Республикаси    Президентининг   2020 йил 12ноябрдаги ПФ-6110-сон Фармони 2-иловасида 2021-2023 йилларда оилавий шифокор пунктлари ва оилавий поликлиникаларни ташкил этиш жадвалда кўрсатиб ўтилган.      </w:t>
            </w:r>
          </w:p>
        </w:tc>
        <w:tc>
          <w:tcPr>
            <w:tcW w:w="5703" w:type="dxa"/>
            <w:tcBorders/>
            <w:shd w:val="clear" w:color="auto" w:fill="auto"/>
            <w:tcMar>
              <w:top w:w="113" w:type="dxa"/>
              <w:bottom w:w="113" w:type="dxa"/>
            </w:tcMar>
            <w:vAlign w:val="center"/>
          </w:tcPr>
          <w:p>
            <w:pPr>
              <w:pStyle w:val="style0"/>
              <w:jc w:val="both"/>
              <w:rPr>
                <w:rFonts w:ascii="Arial" w:cs="Arial" w:hAnsi="Arial"/>
                <w:spacing w:val="-4"/>
                <w:sz w:val="24"/>
                <w:szCs w:val="24"/>
                <w:lang w:val="uz-Cyrl-UZ"/>
              </w:rPr>
            </w:pPr>
            <w:r>
              <w:rPr>
                <w:rFonts w:ascii="Arial" w:cs="Arial" w:hAnsi="Arial"/>
                <w:spacing w:val="-4"/>
                <w:sz w:val="24"/>
                <w:szCs w:val="24"/>
                <w:lang w:val="en-US"/>
              </w:rPr>
              <w:t xml:space="preserve"> Аҳолининг Андижон вилояти Андижон тумани Бўтақара қишлоғидаги ва Гулобод шаҳарчасидаги қишлоқ оилавий поликлиникаси ҳамда қишлоқ врачлик пунктини қайта ташкил этишни талабини билдирди.</w:t>
            </w:r>
          </w:p>
        </w:tc>
        <w:tc>
          <w:tcPr>
            <w:tcW w:w="4595" w:type="dxa"/>
            <w:tcBorders/>
            <w:tcMar>
              <w:top w:w="113" w:type="dxa"/>
              <w:bottom w:w="113" w:type="dxa"/>
            </w:tcMar>
            <w:vAlign w:val="center"/>
          </w:tcPr>
          <w:p>
            <w:pPr>
              <w:pStyle w:val="style0"/>
              <w:tabs>
                <w:tab w:val="left" w:leader="none" w:pos="33"/>
                <w:tab w:val="left" w:leader="none" w:pos="4678"/>
              </w:tabs>
              <w:jc w:val="both"/>
              <w:contextualSpacing/>
              <w:rPr>
                <w:rFonts w:ascii="Arial" w:cs="Arial" w:eastAsia="Times New Roman" w:hAnsi="Arial"/>
                <w:spacing w:val="-4"/>
                <w:sz w:val="24"/>
                <w:szCs w:val="24"/>
                <w:lang w:val="uz-Cyrl-UZ" w:eastAsia="ru-RU"/>
              </w:rPr>
            </w:pPr>
            <w:r>
              <w:rPr>
                <w:rFonts w:ascii="Arial" w:cs="Arial" w:eastAsia="Times New Roman" w:hAnsi="Arial"/>
                <w:spacing w:val="-4"/>
                <w:sz w:val="24"/>
                <w:szCs w:val="24"/>
                <w:lang w:val="en-US" w:eastAsia="ru-RU"/>
              </w:rPr>
              <w:t xml:space="preserve">Келгусида оилавий шифокор пунктлари ва оилавий поликлиникалар ( </w:t>
            </w:r>
            <w:r>
              <w:rPr>
                <w:rFonts w:cs="Arial" w:eastAsia="Times New Roman" w:hAnsi="Arial"/>
                <w:spacing w:val="-4"/>
                <w:sz w:val="24"/>
                <w:szCs w:val="24"/>
                <w:lang w:val="en-US" w:eastAsia="ru-RU"/>
              </w:rPr>
              <w:t>юридик мақомга эга бўлмаган ) Қорақалпоғистон Республикаси Вазирлар Кенгаши, вилоятлар ва Тошкент шаҳар ҳокимликларининг асосланган таклифларига мувофиқ маҳаллий бюджет маблағлари ҳисобидан Соғлиқни сақлаш вазирлиги томонидан ташкил қилиниши белгиланган. Аҳолининг тиббий хизмат олиши учун қулай бўлиши тўғрисидаги талаблари асосида ташкил этилишини таклиф этилади.</w:t>
            </w:r>
          </w:p>
        </w:tc>
      </w:tr>
      <w:tr>
        <w:tblPrEx/>
        <w:trPr>
          <w:trHeight w:val="328" w:hRule="atLeast"/>
          <w:jc w:val="center"/>
        </w:trPr>
        <w:tc>
          <w:tcPr>
            <w:tcW w:w="526" w:type="dxa"/>
            <w:tcBorders/>
            <w:shd w:val="clear" w:color="auto" w:fill="auto"/>
            <w:tcMar>
              <w:top w:w="113" w:type="dxa"/>
              <w:bottom w:w="113" w:type="dxa"/>
            </w:tcMar>
          </w:tcPr>
          <w:p>
            <w:pPr>
              <w:pStyle w:val="style179"/>
              <w:numPr>
                <w:ilvl w:val="0"/>
                <w:numId w:val="1"/>
              </w:numPr>
              <w:ind w:left="0" w:firstLine="0"/>
              <w:jc w:val="center"/>
              <w:rPr>
                <w:rFonts w:ascii="Arial" w:cs="Arial" w:hAnsi="Arial"/>
                <w:b/>
                <w:sz w:val="24"/>
                <w:lang w:val="uz-Cyrl-UZ"/>
              </w:rPr>
            </w:pPr>
          </w:p>
        </w:tc>
        <w:tc>
          <w:tcPr>
            <w:tcW w:w="4882" w:type="dxa"/>
            <w:tcBorders/>
            <w:shd w:val="clear" w:color="auto" w:fill="auto"/>
            <w:tcMar>
              <w:top w:w="113" w:type="dxa"/>
              <w:bottom w:w="113" w:type="dxa"/>
            </w:tcMar>
          </w:tcPr>
          <w:p>
            <w:pPr>
              <w:pStyle w:val="style179"/>
              <w:tabs>
                <w:tab w:val="left" w:leader="none" w:pos="4962"/>
                <w:tab w:val="left" w:leader="none" w:pos="8647"/>
              </w:tabs>
              <w:ind w:left="0" w:firstLine="227"/>
              <w:jc w:val="both"/>
              <w:contextualSpacing w:val="false"/>
              <w:rPr>
                <w:rFonts w:ascii="Arial" w:cs="Arial" w:hAnsi="Arial"/>
                <w:spacing w:val="-4"/>
                <w:sz w:val="24"/>
                <w:lang w:val="uz-Cyrl-UZ"/>
              </w:rPr>
            </w:pPr>
          </w:p>
        </w:tc>
        <w:tc>
          <w:tcPr>
            <w:tcW w:w="5703" w:type="dxa"/>
            <w:tcBorders/>
            <w:shd w:val="clear" w:color="auto" w:fill="auto"/>
            <w:tcMar>
              <w:top w:w="113" w:type="dxa"/>
              <w:bottom w:w="113" w:type="dxa"/>
            </w:tcMar>
            <w:vAlign w:val="center"/>
          </w:tcPr>
          <w:p>
            <w:pPr>
              <w:pStyle w:val="style0"/>
              <w:ind w:firstLine="227"/>
              <w:jc w:val="both"/>
              <w:rPr>
                <w:rFonts w:ascii="Arial" w:cs="Arial" w:hAnsi="Arial"/>
                <w:spacing w:val="-4"/>
                <w:sz w:val="24"/>
                <w:szCs w:val="24"/>
                <w:lang w:val="en-US"/>
              </w:rPr>
            </w:pPr>
          </w:p>
          <w:p>
            <w:pPr>
              <w:pStyle w:val="style0"/>
              <w:jc w:val="both"/>
              <w:rPr>
                <w:rFonts w:ascii="Arial" w:cs="Arial" w:hAnsi="Arial"/>
                <w:spacing w:val="-4"/>
                <w:sz w:val="24"/>
                <w:szCs w:val="24"/>
                <w:lang w:val="uz-Cyrl-UZ"/>
              </w:rPr>
            </w:pPr>
          </w:p>
        </w:tc>
        <w:tc>
          <w:tcPr>
            <w:tcW w:w="4595" w:type="dxa"/>
            <w:tcBorders/>
            <w:tcMar>
              <w:top w:w="113" w:type="dxa"/>
              <w:bottom w:w="113" w:type="dxa"/>
            </w:tcMar>
            <w:vAlign w:val="center"/>
          </w:tcPr>
          <w:p>
            <w:pPr>
              <w:pStyle w:val="style0"/>
              <w:tabs>
                <w:tab w:val="left" w:leader="none" w:pos="33"/>
                <w:tab w:val="left" w:leader="none" w:pos="4678"/>
              </w:tabs>
              <w:ind w:firstLine="227"/>
              <w:jc w:val="both"/>
              <w:contextualSpacing/>
              <w:rPr>
                <w:rFonts w:ascii="Arial" w:cs="Arial" w:eastAsia="Times New Roman" w:hAnsi="Arial"/>
                <w:spacing w:val="-4"/>
                <w:sz w:val="24"/>
                <w:szCs w:val="24"/>
                <w:lang w:val="uz-Cyrl-UZ" w:eastAsia="ru-RU"/>
              </w:rPr>
            </w:pPr>
          </w:p>
        </w:tc>
      </w:tr>
      <w:tr>
        <w:tblPrEx/>
        <w:trPr>
          <w:trHeight w:val="328" w:hRule="atLeast"/>
          <w:jc w:val="center"/>
        </w:trPr>
        <w:tc>
          <w:tcPr>
            <w:tcW w:w="526" w:type="dxa"/>
            <w:tcBorders/>
            <w:shd w:val="clear" w:color="auto" w:fill="auto"/>
            <w:tcMar>
              <w:top w:w="113" w:type="dxa"/>
              <w:bottom w:w="113" w:type="dxa"/>
            </w:tcMar>
          </w:tcPr>
          <w:p>
            <w:pPr>
              <w:pStyle w:val="style179"/>
              <w:numPr>
                <w:ilvl w:val="0"/>
                <w:numId w:val="1"/>
              </w:numPr>
              <w:ind w:left="0" w:firstLine="0"/>
              <w:jc w:val="center"/>
              <w:rPr>
                <w:rFonts w:ascii="Arial" w:cs="Arial" w:hAnsi="Arial"/>
                <w:b/>
                <w:sz w:val="24"/>
                <w:lang w:val="uz-Cyrl-UZ"/>
              </w:rPr>
            </w:pPr>
          </w:p>
        </w:tc>
        <w:tc>
          <w:tcPr>
            <w:tcW w:w="4882" w:type="dxa"/>
            <w:tcBorders/>
            <w:shd w:val="clear" w:color="auto" w:fill="auto"/>
            <w:tcMar>
              <w:top w:w="113" w:type="dxa"/>
              <w:bottom w:w="113" w:type="dxa"/>
            </w:tcMar>
          </w:tcPr>
          <w:p>
            <w:pPr>
              <w:pStyle w:val="style179"/>
              <w:tabs>
                <w:tab w:val="left" w:leader="none" w:pos="4962"/>
                <w:tab w:val="left" w:leader="none" w:pos="8647"/>
              </w:tabs>
              <w:ind w:left="0" w:firstLine="227"/>
              <w:jc w:val="both"/>
              <w:contextualSpacing w:val="false"/>
              <w:rPr>
                <w:rFonts w:ascii="Arial" w:cs="Arial" w:hAnsi="Arial"/>
                <w:spacing w:val="-4"/>
                <w:sz w:val="24"/>
                <w:lang w:val="uz-Cyrl-UZ"/>
              </w:rPr>
            </w:pPr>
          </w:p>
        </w:tc>
        <w:tc>
          <w:tcPr>
            <w:tcW w:w="5703" w:type="dxa"/>
            <w:tcBorders/>
            <w:shd w:val="clear" w:color="auto" w:fill="auto"/>
            <w:tcMar>
              <w:top w:w="113" w:type="dxa"/>
              <w:bottom w:w="113" w:type="dxa"/>
            </w:tcMar>
            <w:vAlign w:val="center"/>
          </w:tcPr>
          <w:p>
            <w:pPr>
              <w:pStyle w:val="style0"/>
              <w:ind w:firstLine="227"/>
              <w:jc w:val="both"/>
              <w:rPr>
                <w:rFonts w:ascii="Arial" w:cs="Arial" w:hAnsi="Arial"/>
                <w:spacing w:val="-4"/>
                <w:sz w:val="24"/>
                <w:szCs w:val="24"/>
                <w:lang w:val="uz-Cyrl-UZ"/>
              </w:rPr>
            </w:pPr>
          </w:p>
        </w:tc>
        <w:tc>
          <w:tcPr>
            <w:tcW w:w="4595" w:type="dxa"/>
            <w:tcBorders/>
            <w:tcMar>
              <w:top w:w="113" w:type="dxa"/>
              <w:bottom w:w="113" w:type="dxa"/>
            </w:tcMar>
            <w:vAlign w:val="center"/>
          </w:tcPr>
          <w:p>
            <w:pPr>
              <w:pStyle w:val="style0"/>
              <w:tabs>
                <w:tab w:val="left" w:leader="none" w:pos="33"/>
                <w:tab w:val="left" w:leader="none" w:pos="4678"/>
              </w:tabs>
              <w:ind w:firstLine="227"/>
              <w:jc w:val="both"/>
              <w:contextualSpacing/>
              <w:rPr>
                <w:rFonts w:ascii="Arial" w:cs="Arial" w:eastAsia="Times New Roman" w:hAnsi="Arial"/>
                <w:spacing w:val="-4"/>
                <w:sz w:val="24"/>
                <w:szCs w:val="24"/>
                <w:lang w:val="uz-Cyrl-UZ" w:eastAsia="ru-RU"/>
              </w:rPr>
            </w:pPr>
          </w:p>
        </w:tc>
      </w:tr>
      <w:tr>
        <w:tblPrEx/>
        <w:trPr>
          <w:trHeight w:val="328" w:hRule="atLeast"/>
          <w:jc w:val="center"/>
        </w:trPr>
        <w:tc>
          <w:tcPr>
            <w:tcW w:w="526" w:type="dxa"/>
            <w:tcBorders/>
            <w:shd w:val="clear" w:color="auto" w:fill="auto"/>
            <w:tcMar>
              <w:top w:w="113" w:type="dxa"/>
              <w:bottom w:w="113" w:type="dxa"/>
            </w:tcMar>
          </w:tcPr>
          <w:p>
            <w:pPr>
              <w:pStyle w:val="style179"/>
              <w:numPr>
                <w:ilvl w:val="0"/>
                <w:numId w:val="1"/>
              </w:numPr>
              <w:ind w:left="0" w:firstLine="0"/>
              <w:jc w:val="center"/>
              <w:rPr>
                <w:rFonts w:ascii="Arial" w:cs="Arial" w:hAnsi="Arial"/>
                <w:b/>
                <w:sz w:val="24"/>
                <w:lang w:val="uz-Cyrl-UZ"/>
              </w:rPr>
            </w:pPr>
          </w:p>
        </w:tc>
        <w:tc>
          <w:tcPr>
            <w:tcW w:w="4882" w:type="dxa"/>
            <w:tcBorders/>
            <w:shd w:val="clear" w:color="auto" w:fill="auto"/>
            <w:tcMar>
              <w:top w:w="113" w:type="dxa"/>
              <w:bottom w:w="113" w:type="dxa"/>
            </w:tcMar>
          </w:tcPr>
          <w:p>
            <w:pPr>
              <w:pStyle w:val="style179"/>
              <w:tabs>
                <w:tab w:val="left" w:leader="none" w:pos="4962"/>
                <w:tab w:val="left" w:leader="none" w:pos="8647"/>
              </w:tabs>
              <w:ind w:left="0" w:firstLine="227"/>
              <w:jc w:val="both"/>
              <w:contextualSpacing w:val="false"/>
              <w:rPr>
                <w:rFonts w:ascii="Arial" w:cs="Arial" w:hAnsi="Arial"/>
                <w:spacing w:val="-4"/>
                <w:sz w:val="24"/>
                <w:lang w:val="uz-Cyrl-UZ"/>
              </w:rPr>
            </w:pPr>
          </w:p>
        </w:tc>
        <w:tc>
          <w:tcPr>
            <w:tcW w:w="5703" w:type="dxa"/>
            <w:tcBorders/>
            <w:shd w:val="clear" w:color="auto" w:fill="auto"/>
            <w:tcMar>
              <w:top w:w="113" w:type="dxa"/>
              <w:bottom w:w="113" w:type="dxa"/>
            </w:tcMar>
            <w:vAlign w:val="center"/>
          </w:tcPr>
          <w:p>
            <w:pPr>
              <w:pStyle w:val="style0"/>
              <w:ind w:firstLine="227"/>
              <w:jc w:val="both"/>
              <w:rPr>
                <w:rFonts w:ascii="Arial" w:cs="Arial" w:hAnsi="Arial"/>
                <w:spacing w:val="-4"/>
                <w:sz w:val="24"/>
                <w:szCs w:val="24"/>
                <w:lang w:val="uz-Cyrl-UZ"/>
              </w:rPr>
            </w:pPr>
          </w:p>
        </w:tc>
        <w:tc>
          <w:tcPr>
            <w:tcW w:w="4595" w:type="dxa"/>
            <w:tcBorders/>
            <w:tcMar>
              <w:top w:w="113" w:type="dxa"/>
              <w:bottom w:w="113" w:type="dxa"/>
            </w:tcMar>
            <w:vAlign w:val="center"/>
          </w:tcPr>
          <w:p>
            <w:pPr>
              <w:pStyle w:val="style0"/>
              <w:tabs>
                <w:tab w:val="left" w:leader="none" w:pos="33"/>
                <w:tab w:val="left" w:leader="none" w:pos="4678"/>
              </w:tabs>
              <w:ind w:firstLine="227"/>
              <w:jc w:val="both"/>
              <w:contextualSpacing/>
              <w:rPr>
                <w:rFonts w:ascii="Arial" w:cs="Arial" w:eastAsia="Times New Roman" w:hAnsi="Arial"/>
                <w:spacing w:val="-4"/>
                <w:sz w:val="24"/>
                <w:szCs w:val="24"/>
                <w:lang w:val="uz-Cyrl-UZ" w:eastAsia="ru-RU"/>
              </w:rPr>
            </w:pPr>
          </w:p>
        </w:tc>
      </w:tr>
    </w:tbl>
    <w:p>
      <w:pPr>
        <w:pStyle w:val="style0"/>
        <w:spacing w:before="120" w:after="120" w:lineRule="auto" w:line="240"/>
        <w:ind w:firstLine="227"/>
        <w:jc w:val="both"/>
        <w:rPr>
          <w:rFonts w:ascii="Arial" w:cs="Arial" w:hAnsi="Arial"/>
          <w:i/>
          <w:sz w:val="24"/>
          <w:szCs w:val="24"/>
          <w:lang w:val="uz-Cyrl-UZ"/>
        </w:rPr>
      </w:pPr>
    </w:p>
    <w:sectPr>
      <w:headerReference w:type="default" r:id="rId2"/>
      <w:pgSz w:w="16838" w:h="11906" w:orient="landscape"/>
      <w:pgMar w:top="567" w:right="567" w:bottom="567" w:left="567"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cc"/>
    <w:family w:val="roman"/>
    <w:pitch w:val="variable"/>
    <w:sig w:usb0="E0002AFF" w:usb1="C0007841" w:usb2="00000009" w:usb3="00000000" w:csb0="000001FF" w:csb1="00000000"/>
  </w:font>
  <w:font w:name="Calibri">
    <w:altName w:val="Calibri"/>
    <w:panose1 w:val="020f0502020000030204"/>
    <w:charset w:val="cc"/>
    <w:family w:val="swiss"/>
    <w:pitch w:val="variable"/>
    <w:sig w:usb0="E00002FF" w:usb1="4000ACFF" w:usb2="00000001" w:usb3="00000000" w:csb0="0000019F" w:csb1="00000000"/>
  </w:font>
  <w:font w:name="Times New Roman (Основной текст">
    <w:altName w:val="Times New Roman"/>
    <w:panose1 w:val="00000000000000000000"/>
    <w:charset w:val="00"/>
    <w:family w:val="roman"/>
    <w:pitch w:val="variable"/>
    <w:sig w:usb0="E0002AEF" w:usb1="C0007841" w:usb2="00000009" w:usb3="00000000" w:csb0="000001FF" w:csb1="00000000"/>
  </w:font>
  <w:font w:name="Tahoma">
    <w:altName w:val="Tahoma"/>
    <w:panose1 w:val="020b0604030000040204"/>
    <w:charset w:val="cc"/>
    <w:family w:val="swiss"/>
    <w:pitch w:val="variable"/>
    <w:sig w:usb0="E1002EFF" w:usb1="C000605B" w:usb2="00000029" w:usb3="00000000" w:csb0="000101FF" w:csb1="00000000"/>
  </w:font>
  <w:font w:name="Arial">
    <w:altName w:val="Arial"/>
    <w:panose1 w:val="020b0604020000020204"/>
    <w:charset w:val="cc"/>
    <w:family w:val="swiss"/>
    <w:pitch w:val="variable"/>
    <w:sig w:usb0="E0002AFF" w:usb1="C0007843" w:usb2="00000009" w:usb3="00000000" w:csb0="000001FF" w:csb1="00000000"/>
  </w:font>
  <w:font w:name="Cambria">
    <w:altName w:val="Cambria"/>
    <w:panose1 w:val="02040503050000030204"/>
    <w:charset w:val="cc"/>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center"/>
      <w:rPr>
        <w:rFonts w:ascii="Times New Roman" w:cs="Times New Roman" w:hAnsi="Times New Roman"/>
        <w:sz w:val="28"/>
        <w:szCs w:val="28"/>
      </w:rPr>
    </w:pPr>
    <w:r>
      <w:rPr>
        <w:rFonts w:ascii="Times New Roman" w:cs="Times New Roman" w:hAnsi="Times New Roman"/>
        <w:sz w:val="28"/>
        <w:szCs w:val="28"/>
      </w:rPr>
      <w:fldChar w:fldCharType="begin"/>
    </w:r>
    <w:r>
      <w:rPr>
        <w:rFonts w:ascii="Times New Roman" w:cs="Times New Roman" w:hAnsi="Times New Roman"/>
        <w:sz w:val="28"/>
        <w:szCs w:val="28"/>
      </w:rPr>
      <w:instrText>PAGE   \* MERGEFORMAT</w:instrText>
    </w:r>
    <w:r>
      <w:rPr>
        <w:rFonts w:ascii="Times New Roman" w:cs="Times New Roman" w:hAnsi="Times New Roman"/>
        <w:sz w:val="28"/>
        <w:szCs w:val="28"/>
      </w:rPr>
      <w:fldChar w:fldCharType="separate"/>
    </w:r>
    <w:r>
      <w:rPr>
        <w:rFonts w:ascii="Times New Roman" w:cs="Times New Roman" w:hAnsi="Times New Roman"/>
        <w:noProof/>
        <w:sz w:val="28"/>
        <w:szCs w:val="28"/>
      </w:rPr>
      <w:t>2</w:t>
    </w:r>
    <w:r>
      <w:rPr>
        <w:rFonts w:ascii="Times New Roman" w:cs="Times New Roman" w:hAnsi="Times New Roman"/>
        <w:sz w:val="28"/>
        <w:szCs w:val="28"/>
      </w:rPr>
      <w:fldChar w:fldCharType="end"/>
    </w:r>
  </w:p>
  <w:p>
    <w:pPr>
      <w:pStyle w:val="style31"/>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B7EC9EE"/>
    <w:lvl w:ilvl="0" w:tplc="0843000F">
      <w:start w:val="1"/>
      <w:numFmt w:val="decimal"/>
      <w:lvlText w:val="%1."/>
      <w:lvlJc w:val="left"/>
      <w:pPr>
        <w:ind w:left="720" w:hanging="360"/>
      </w:pPr>
    </w:lvl>
    <w:lvl w:ilvl="1" w:tplc="08430019" w:tentative="1">
      <w:start w:val="1"/>
      <w:numFmt w:val="lowerLetter"/>
      <w:lvlText w:val="%2."/>
      <w:lvlJc w:val="left"/>
      <w:pPr>
        <w:ind w:left="1440" w:hanging="360"/>
      </w:pPr>
    </w:lvl>
    <w:lvl w:ilvl="2" w:tplc="0843001B" w:tentative="1">
      <w:start w:val="1"/>
      <w:numFmt w:val="lowerRoman"/>
      <w:lvlText w:val="%3."/>
      <w:lvlJc w:val="right"/>
      <w:pPr>
        <w:ind w:left="2160" w:hanging="180"/>
      </w:pPr>
    </w:lvl>
    <w:lvl w:ilvl="3" w:tplc="0843000F" w:tentative="1">
      <w:start w:val="1"/>
      <w:numFmt w:val="decimal"/>
      <w:lvlText w:val="%4."/>
      <w:lvlJc w:val="left"/>
      <w:pPr>
        <w:ind w:left="2880" w:hanging="360"/>
      </w:pPr>
    </w:lvl>
    <w:lvl w:ilvl="4" w:tplc="08430019" w:tentative="1">
      <w:start w:val="1"/>
      <w:numFmt w:val="lowerLetter"/>
      <w:lvlText w:val="%5."/>
      <w:lvlJc w:val="left"/>
      <w:pPr>
        <w:ind w:left="3600" w:hanging="360"/>
      </w:pPr>
    </w:lvl>
    <w:lvl w:ilvl="5" w:tplc="0843001B" w:tentative="1">
      <w:start w:val="1"/>
      <w:numFmt w:val="lowerRoman"/>
      <w:lvlText w:val="%6."/>
      <w:lvlJc w:val="right"/>
      <w:pPr>
        <w:ind w:left="4320" w:hanging="180"/>
      </w:pPr>
    </w:lvl>
    <w:lvl w:ilvl="6" w:tplc="0843000F" w:tentative="1">
      <w:start w:val="1"/>
      <w:numFmt w:val="decimal"/>
      <w:lvlText w:val="%7."/>
      <w:lvlJc w:val="left"/>
      <w:pPr>
        <w:ind w:left="5040" w:hanging="360"/>
      </w:pPr>
    </w:lvl>
    <w:lvl w:ilvl="7" w:tplc="08430019" w:tentative="1">
      <w:start w:val="1"/>
      <w:numFmt w:val="lowerLetter"/>
      <w:lvlText w:val="%8."/>
      <w:lvlJc w:val="left"/>
      <w:pPr>
        <w:ind w:left="5760" w:hanging="360"/>
      </w:pPr>
    </w:lvl>
    <w:lvl w:ilvl="8" w:tplc="0843001B" w:tentative="1">
      <w:start w:val="1"/>
      <w:numFmt w:val="lowerRoman"/>
      <w:lvlText w:val="%9."/>
      <w:lvlJc w:val="right"/>
      <w:pPr>
        <w:ind w:left="6480" w:hanging="180"/>
      </w:pPr>
    </w:lvl>
  </w:abstractNum>
  <w:abstractNum w:abstractNumId="1">
    <w:nsid w:val="00000001"/>
    <w:multiLevelType w:val="hybridMultilevel"/>
    <w:tmpl w:val="B10A5B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0000002"/>
    <w:multiLevelType w:val="hybridMultilevel"/>
    <w:tmpl w:val="D88C239A"/>
    <w:lvl w:ilvl="0" w:tplc="E6C0F0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4"/>
  <w:hideSpellingErrors/>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ru-RU"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ru-RU"/>
    </w:rPr>
  </w:style>
  <w:style w:type="character" w:customStyle="1" w:styleId="style4097">
    <w:name w:val="apple-converted-space"/>
    <w:basedOn w:val="style65"/>
    <w:next w:val="style4097"/>
  </w:style>
  <w:style w:type="character" w:customStyle="1" w:styleId="style4098">
    <w:name w:val="show_context"/>
    <w:basedOn w:val="style65"/>
    <w:next w:val="style4098"/>
  </w:style>
  <w:style w:type="paragraph" w:styleId="style179">
    <w:name w:val="List Paragraph"/>
    <w:basedOn w:val="style0"/>
    <w:next w:val="style179"/>
    <w:qFormat/>
    <w:uiPriority w:val="34"/>
    <w:pPr>
      <w:spacing w:after="0" w:lineRule="auto" w:line="240"/>
      <w:ind w:left="720"/>
      <w:contextualSpacing/>
    </w:pPr>
    <w:rPr>
      <w:rFonts w:ascii="Times New Roman" w:cs="Times New Roman (Основной текст" w:hAnsi="Times New Roman"/>
      <w:sz w:val="28"/>
      <w:szCs w:val="24"/>
    </w:rPr>
  </w:style>
  <w:style w:type="paragraph" w:styleId="style157">
    <w:name w:val="No Spacing"/>
    <w:next w:val="style157"/>
    <w:qFormat/>
    <w:uiPriority w:val="1"/>
    <w:pPr>
      <w:spacing w:after="0" w:lineRule="auto" w:line="240"/>
    </w:pPr>
    <w:rPr>
      <w:rFonts w:eastAsia="宋体"/>
      <w:lang w:eastAsia="ru-RU"/>
    </w:rPr>
  </w:style>
  <w:style w:type="character" w:customStyle="1" w:styleId="style4099">
    <w:name w:val="Font Style24"/>
    <w:next w:val="style4099"/>
    <w:rPr>
      <w:rFonts w:ascii="Times New Roman" w:cs="Times New Roman" w:hAnsi="Times New Roman" w:hint="default"/>
      <w:sz w:val="22"/>
      <w:szCs w:val="22"/>
    </w:rPr>
  </w:style>
  <w:style w:type="paragraph" w:styleId="style31">
    <w:name w:val="header"/>
    <w:basedOn w:val="style0"/>
    <w:next w:val="style31"/>
    <w:link w:val="style4100"/>
    <w:uiPriority w:val="99"/>
    <w:pPr>
      <w:tabs>
        <w:tab w:val="center" w:leader="none" w:pos="4513"/>
        <w:tab w:val="right" w:leader="none" w:pos="9026"/>
      </w:tabs>
      <w:spacing w:after="0" w:lineRule="auto" w:line="240"/>
    </w:pPr>
    <w:rPr/>
  </w:style>
  <w:style w:type="character" w:customStyle="1" w:styleId="style4100">
    <w:name w:val="Верхний колонтитул Знак"/>
    <w:basedOn w:val="style65"/>
    <w:next w:val="style4100"/>
    <w:link w:val="style31"/>
    <w:uiPriority w:val="99"/>
  </w:style>
  <w:style w:type="paragraph" w:styleId="style32">
    <w:name w:val="footer"/>
    <w:basedOn w:val="style0"/>
    <w:next w:val="style32"/>
    <w:link w:val="style4101"/>
    <w:uiPriority w:val="99"/>
    <w:pPr>
      <w:tabs>
        <w:tab w:val="center" w:leader="none" w:pos="4513"/>
        <w:tab w:val="right" w:leader="none" w:pos="9026"/>
      </w:tabs>
      <w:spacing w:after="0" w:lineRule="auto" w:line="240"/>
    </w:pPr>
    <w:rPr/>
  </w:style>
  <w:style w:type="character" w:customStyle="1" w:styleId="style4101">
    <w:name w:val="Нижний колонтитул Знак"/>
    <w:basedOn w:val="style65"/>
    <w:next w:val="style4101"/>
    <w:link w:val="style32"/>
    <w:uiPriority w:val="99"/>
  </w:style>
  <w:style w:type="paragraph" w:styleId="style153">
    <w:name w:val="Balloon Text"/>
    <w:basedOn w:val="style0"/>
    <w:next w:val="style153"/>
    <w:link w:val="style4102"/>
    <w:uiPriority w:val="99"/>
    <w:pPr>
      <w:spacing w:after="0" w:lineRule="auto" w:line="240"/>
    </w:pPr>
    <w:rPr>
      <w:rFonts w:ascii="Tahoma" w:cs="Tahoma" w:hAnsi="Tahoma"/>
      <w:sz w:val="16"/>
      <w:szCs w:val="16"/>
    </w:rPr>
  </w:style>
  <w:style w:type="character" w:customStyle="1" w:styleId="style4102">
    <w:name w:val="Текст выноски Знак"/>
    <w:basedOn w:val="style65"/>
    <w:next w:val="style4102"/>
    <w:link w:val="style153"/>
    <w:uiPriority w:val="99"/>
    <w:rPr>
      <w:rFonts w:ascii="Tahoma" w:cs="Tahoma" w:hAnsi="Tahoma"/>
      <w:sz w:val="16"/>
      <w:szCs w:val="16"/>
    </w:rPr>
  </w:style>
  <w:style w:type="character" w:customStyle="1" w:styleId="style4103">
    <w:name w:val="Основной текст (2)_"/>
    <w:basedOn w:val="style65"/>
    <w:next w:val="style4103"/>
    <w:link w:val="style4104"/>
    <w:rPr>
      <w:rFonts w:ascii="Times New Roman" w:eastAsia="Times New Roman" w:hAnsi="Times New Roman"/>
      <w:shd w:val="clear" w:color="auto" w:fill="ffffff"/>
    </w:rPr>
  </w:style>
  <w:style w:type="paragraph" w:customStyle="1" w:styleId="style4104">
    <w:name w:val="Основной текст (2)"/>
    <w:basedOn w:val="style0"/>
    <w:next w:val="style4104"/>
    <w:link w:val="style4103"/>
    <w:pPr>
      <w:widowControl w:val="false"/>
      <w:shd w:val="clear" w:color="auto" w:fill="ffffff"/>
      <w:spacing w:after="0" w:lineRule="exact" w:line="293"/>
      <w:jc w:val="both"/>
    </w:pPr>
    <w:rPr>
      <w:rFonts w:ascii="Times New Roman" w:eastAsia="Times New Roman" w:hAnsi="Times New Roman"/>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6ECB6-2B6F-4B10-8B2A-0A1BEA97C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437</Words>
  <Pages>1</Pages>
  <Characters>3383</Characters>
  <Application>WPS Office</Application>
  <DocSecurity>0</DocSecurity>
  <Paragraphs>52</Paragraphs>
  <ScaleCrop>false</ScaleCrop>
  <Company>Om</Company>
  <LinksUpToDate>false</LinksUpToDate>
  <CharactersWithSpaces>3834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2021-01-25T13:59:59Z</dcterms:created>
  <dc:creator>Dilafruz Kushakova</dc:creator>
  <lastModifiedBy>SM-T515</lastModifiedBy>
  <lastPrinted>2019-06-24T10:20:00Z</lastPrinted>
  <dcterms:modified xsi:type="dcterms:W3CDTF">2021-01-25T13:59:59Z</dcterms:modified>
  <revision>285</revision>
</coreProperties>
</file>

<file path=docProps/custom.xml><?xml version="1.0" encoding="utf-8"?>
<Properties xmlns="http://schemas.openxmlformats.org/officeDocument/2006/custom-properties" xmlns:vt="http://schemas.openxmlformats.org/officeDocument/2006/docPropsVTypes"/>
</file>