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FE" w:rsidRPr="00D4517E" w:rsidRDefault="00296F7B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>
        <w:rPr>
          <w:rFonts w:ascii="Cambria" w:hAnsi="Cambria" w:cs="Arial"/>
          <w:b/>
          <w:sz w:val="28"/>
          <w:szCs w:val="28"/>
          <w:lang w:val="uz-Cyrl-UZ"/>
        </w:rPr>
        <w:t>Пахтачи туман ТТБ  томонидан а</w:t>
      </w:r>
      <w:r w:rsidR="00DA5668" w:rsidRPr="00D4517E">
        <w:rPr>
          <w:rFonts w:ascii="Cambria" w:hAnsi="Cambria" w:cs="Arial"/>
          <w:b/>
          <w:sz w:val="28"/>
          <w:szCs w:val="28"/>
          <w:lang w:val="uz-Cyrl-UZ"/>
        </w:rPr>
        <w:t xml:space="preserve">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Pr="00D4517E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  <w:r w:rsidR="0059270A">
        <w:rPr>
          <w:rFonts w:ascii="Cambria" w:hAnsi="Cambria" w:cs="Arial"/>
          <w:b/>
          <w:sz w:val="28"/>
          <w:szCs w:val="28"/>
          <w:lang w:val="uz-Cyrl-UZ"/>
        </w:rPr>
        <w:t xml:space="preserve"> асосида олиб борилган ишлар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4338D4" w:rsidRPr="00980AEC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6570F1" w:rsidRDefault="0059270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КТМП ва Т.Кенжаев ОШП карашли хонадонлар яшовчи ахоли билан сухбат утказилганда </w:t>
            </w:r>
            <w:r w:rsidR="000F5A6B"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ахоли поликлиника хизматидан мамнунлигини айтди.</w:t>
            </w:r>
          </w:p>
        </w:tc>
      </w:tr>
      <w:tr w:rsidR="00BA6B5F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6570F1" w:rsidRDefault="000F5A6B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ru-RU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Ахоли </w:t>
            </w:r>
            <w:r w:rsidRPr="006570F1">
              <w:rPr>
                <w:rFonts w:asciiTheme="majorHAnsi" w:hAnsiTheme="majorHAnsi" w:cs="Arial"/>
                <w:sz w:val="24"/>
                <w:szCs w:val="24"/>
                <w:lang w:val="ru-RU"/>
              </w:rPr>
              <w:t>узларининг кайси поликлиникага бириктирилганлигидан хабардор.</w:t>
            </w:r>
          </w:p>
        </w:tc>
      </w:tr>
      <w:tr w:rsidR="00BA6B5F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6570F1" w:rsidRDefault="000F5A6B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Хар бир хонадон эгаси узининг оилавий шифокори  ва патронаж хамширасини танийди. </w:t>
            </w:r>
          </w:p>
        </w:tc>
      </w:tr>
      <w:tr w:rsidR="00BA6B5F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F5A6B" w:rsidRDefault="000C44D0" w:rsidP="00BA6B5F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6570F1" w:rsidRDefault="000F5A6B" w:rsidP="0015283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тиббиёт бирлашма</w:t>
            </w:r>
            <w:r w:rsidR="00152834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си томонидан 70 та тиббий бригада ташкил қилиниб </w:t>
            </w: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хатловдан ўтказилмокда, улар бирламчи тиббий-санитария муассасаларига бириктирилган.</w:t>
            </w:r>
          </w:p>
        </w:tc>
      </w:tr>
      <w:tr w:rsidR="00BA6B5F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6570F1" w:rsidRDefault="000F5A6B" w:rsidP="000F5A6B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КТМП ва Т.Кенжаев ОШП карашли хонадонлар яшовчи ахоли билан сухбат утказилганда хонадонга патронаж хамшира 2020 йил 30 январ куни ташриф буюрганини, патронаж хизматидан мамнунлигини айтди.</w:t>
            </w:r>
          </w:p>
        </w:tc>
      </w:tr>
      <w:tr w:rsidR="00BA6B5F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6570F1" w:rsidRDefault="006570F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Ахоли тез ёрдам ишидан мамнун, тезкорлик учун хам, кулайлик учун хам.</w:t>
            </w: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235D2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</w:t>
            </w:r>
            <w:r w:rsidR="00235D2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Пахтачи туман тиббиёт бирлашмасига карашли БТСЁлар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B21E99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уруҳи ва бошқалар) ажратилмокда</w:t>
            </w:r>
          </w:p>
        </w:tc>
      </w:tr>
      <w:tr w:rsidR="000C44D0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B21E99" w:rsidRDefault="00B21E99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B21E99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Хатлов якунидан сунг утказилиши режалаштирилган.</w:t>
            </w:r>
          </w:p>
        </w:tc>
      </w:tr>
      <w:tr w:rsidR="000C44D0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B21E99" w:rsidP="00B21E99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мустақил равишда тиббиёт муассасасига кела олмайдиган беморлар доимий кузатувга олинган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,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</w:t>
            </w:r>
            <w:r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 xml:space="preserve">мокда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ва индивидуал патронаж</w:t>
            </w:r>
            <w:r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 xml:space="preserve"> ажратилиши режалаштирилган.</w:t>
            </w:r>
          </w:p>
        </w:tc>
      </w:tr>
      <w:tr w:rsidR="00181106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E813D5" w:rsidRDefault="00181106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E813D5" w:rsidRDefault="00181106" w:rsidP="0018110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ўтказиш хатлов тугагандан сунг амалга ошириш режалаштирилган.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235D26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атронаж тизими жорий қилинган.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235D26" w:rsidP="00235D26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181106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181106" w:rsidRPr="00C06D43" w:rsidRDefault="00181106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181106" w:rsidRPr="00C06D43" w:rsidRDefault="00181106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DF3B53" w:rsidRDefault="00DF3B53" w:rsidP="00625B19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DF3B53">
              <w:rPr>
                <w:rFonts w:asciiTheme="majorHAnsi" w:hAnsiTheme="majorHAnsi" w:cs="Arial"/>
                <w:sz w:val="24"/>
                <w:szCs w:val="24"/>
                <w:lang w:val="uz-Cyrl-UZ"/>
              </w:rPr>
              <w:t>Ахоли уртасида тиббиёт ходимлари томонидан</w:t>
            </w:r>
            <w:r w:rsidR="00625B19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“Т</w:t>
            </w:r>
            <w:r w:rsidRPr="00DF3B53">
              <w:rPr>
                <w:rFonts w:asciiTheme="majorHAnsi" w:hAnsiTheme="majorHAnsi" w:cs="Arial"/>
                <w:sz w:val="24"/>
                <w:szCs w:val="24"/>
                <w:lang w:val="uz-Cyrl-UZ"/>
              </w:rPr>
              <w:t>угри овкатланиш, жисмоний фаоллик, зарарли одатлардан воз кечиш</w:t>
            </w:r>
            <w:r w:rsidR="00625B19">
              <w:rPr>
                <w:rFonts w:asciiTheme="majorHAnsi" w:hAnsiTheme="majorHAnsi" w:cs="Arial"/>
                <w:sz w:val="24"/>
                <w:szCs w:val="24"/>
                <w:lang w:val="uz-Cyrl-UZ"/>
              </w:rPr>
              <w:t>”</w:t>
            </w:r>
            <w:r w:rsidRPr="00DF3B53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м</w:t>
            </w:r>
            <w:r w:rsidR="0015283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авзуларида оммабоп тадбирлар ў</w:t>
            </w:r>
            <w:r w:rsidRPr="00DF3B53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тказилган.</w:t>
            </w:r>
            <w:r w:rsidR="00152834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Аҳоли ўртасида соғлом турмуш тарзига риоя қилиш юзасидан йў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л харитаси, махаллий рузномада чоп этиладиган маколалар, яъни медиарежа ишлаб чикилган.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625B19" w:rsidRDefault="00625B19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625B19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Туманда 59 та махалла мавжуд булиб, барчасида “Саломатлик мактаблари” ташкил килинган,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“Саломатлик мактаби” таркиби шаклланган. “Саломатлик мактаби”</w:t>
            </w:r>
            <w:r w:rsidR="00760BA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аъзолари 3 гурухга булиниб, яъни “Соглом овкатланиш гурухи”, “Жисмоний фаоллик гурухи”, “Шахсий гигиена ва тоза хонадон гурухлари”га булиниб, хар бир гурух узининг Соглом турмуш тарзига каратилган тадбирларини амалга оширмокда. </w:t>
            </w:r>
            <w:r w:rsidRPr="00625B19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625B19" w:rsidRDefault="00181106" w:rsidP="000C44D0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760BA1" w:rsidP="00760BA1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Қишлоқ шифокори” дастурини амалга ошириш мақсадида ҳокимлик томонидан олис ва чекка худудларга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тумандаги Карнабота ОШПга карашли “Чашма” ва “Карнабота” махалларига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шифокорларга бўлган эҳтиёж ўрганилган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ва тулик оила шифокори билан таъминланган.</w:t>
            </w:r>
          </w:p>
        </w:tc>
      </w:tr>
      <w:tr w:rsidR="00181106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181106" w:rsidRPr="00C06D43" w:rsidRDefault="00181106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181106" w:rsidRPr="00C06D43" w:rsidRDefault="00181106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  <w:r w:rsidR="0051034F"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Т.Кенжаев ОШП</w:t>
            </w:r>
            <w:r w:rsidR="0051034F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урганилганда:</w:t>
            </w:r>
          </w:p>
        </w:tc>
      </w:tr>
      <w:tr w:rsidR="00181106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181106" w:rsidRPr="000C44D0" w:rsidRDefault="00181106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181106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181106" w:rsidRPr="00AE17E4" w:rsidRDefault="00286D74" w:rsidP="00286D7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Танлов асосида </w:t>
            </w: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Т.Кенжаев ОШП 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урганилганда Т.Кенжаев ОШП 13445 нафар ахолига хизмат курсатиши аникланди.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286D74" w:rsidRDefault="00286D74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286D7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286D74" w:rsidRPr="00286D7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286D74" w:rsidRDefault="00286D74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0B38FE" w:rsidRDefault="00286D74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286D74" w:rsidRDefault="00286D74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286D7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Шифокорлар етарли эмас, урта тиббиёт ходимлари етарли.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Сабаби оилавий шифокорлар етишмайди. 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286D7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тиббиёт ускуналари билан 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кисман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таъминланган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286D7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Т.Кенжаев ОШП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оптик толали алоқа линиялари орқали Интернет тармоғига улан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ган</w:t>
            </w:r>
          </w:p>
        </w:tc>
      </w:tr>
      <w:tr w:rsidR="00286D74" w:rsidRPr="0051034F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6819AF" w:rsidRDefault="00286D74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</w:t>
            </w:r>
            <w:r w:rsidR="0051034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л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51034F" w:rsidRDefault="0051034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51034F">
              <w:rPr>
                <w:rFonts w:asciiTheme="majorHAnsi" w:hAnsiTheme="majorHAnsi" w:cs="Arial"/>
                <w:sz w:val="24"/>
                <w:szCs w:val="24"/>
                <w:lang w:val="ru-RU"/>
              </w:rPr>
              <w:t>Махаллий</w:t>
            </w:r>
            <w:r w:rsidRPr="0051034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51034F">
              <w:rPr>
                <w:rFonts w:asciiTheme="majorHAnsi" w:hAnsiTheme="majorHAnsi" w:cs="Arial"/>
                <w:sz w:val="24"/>
                <w:szCs w:val="24"/>
                <w:lang w:val="ru-RU"/>
              </w:rPr>
              <w:t>заруриятдан</w:t>
            </w:r>
            <w:r w:rsidRPr="0051034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51034F">
              <w:rPr>
                <w:rFonts w:asciiTheme="majorHAnsi" w:hAnsiTheme="majorHAnsi" w:cs="Arial"/>
                <w:sz w:val="24"/>
                <w:szCs w:val="24"/>
                <w:lang w:val="ru-RU"/>
              </w:rPr>
              <w:t>келиб</w:t>
            </w:r>
            <w:r w:rsidRPr="0051034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51034F">
              <w:rPr>
                <w:rFonts w:asciiTheme="majorHAnsi" w:hAnsiTheme="majorHAnsi" w:cs="Arial"/>
                <w:sz w:val="24"/>
                <w:szCs w:val="24"/>
                <w:lang w:val="ru-RU"/>
              </w:rPr>
              <w:t>чикиб</w:t>
            </w:r>
            <w:r w:rsidRPr="0051034F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6570F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Т.Кенжаев ОШП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да соат 8-00дан 20-00гача навбатчи тиббиёт ходими фаолияти йулга куйилган.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C06D43" w:rsidRDefault="00286D74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51034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51034F">
              <w:rPr>
                <w:rFonts w:asciiTheme="majorHAnsi" w:hAnsiTheme="majorHAnsi" w:cs="Arial"/>
                <w:sz w:val="24"/>
                <w:szCs w:val="24"/>
                <w:lang w:val="uz-Cyrl-UZ"/>
              </w:rPr>
              <w:t>Ахолига тиббий хизмат курсатиш тугри йулга куйилганлиги, Т.Кенжаев ОШПда тез тиббий ёрдам шахобчаси борлиги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, 103 ва ОШП уртасида интеграция хизмати йулга куйилганлиги аникланди.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51034F" w:rsidRDefault="0051034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51034F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Беморларни ОШП оила шифокорига кайси вактда бориши патронаж хамширалар томонидан белгилаб берилган. 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286D74" w:rsidRPr="00C06D43" w:rsidRDefault="00286D74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286D74" w:rsidRPr="00844F2B" w:rsidRDefault="00286D74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286D74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0C44D0" w:rsidRDefault="00286D74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AE17E4" w:rsidRDefault="00286D74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51034F" w:rsidRDefault="0051034F" w:rsidP="0051034F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51034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тиббиёт бирлашмаси фаолияти дислокацияси бўйича кўп тармоқли марказий поликлиника биносида жойлаштирилганлиги ва фаолият юритаётганлиги аникланди. </w:t>
            </w:r>
          </w:p>
        </w:tc>
      </w:tr>
      <w:tr w:rsidR="00286D74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286D74" w:rsidRPr="003652BC" w:rsidRDefault="00286D74" w:rsidP="00600B3C">
            <w:pPr>
              <w:jc w:val="center"/>
              <w:rPr>
                <w:color w:val="FF0000"/>
              </w:rPr>
            </w:pPr>
            <w:r w:rsidRPr="003652BC"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286D74" w:rsidRPr="003652BC" w:rsidRDefault="00286D74" w:rsidP="00AE17E4">
            <w:pPr>
              <w:jc w:val="both"/>
              <w:rPr>
                <w:rFonts w:asciiTheme="majorHAnsi" w:hAnsiTheme="majorHAnsi" w:cs="Arial"/>
                <w:b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286D74" w:rsidRPr="003652BC" w:rsidRDefault="00C217C3" w:rsidP="00AE17E4">
            <w:pPr>
              <w:jc w:val="both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t>Муаммо мавжуд эмас.</w:t>
            </w:r>
          </w:p>
        </w:tc>
      </w:tr>
      <w:tr w:rsidR="00D128AB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D128AB" w:rsidP="00600B3C">
            <w:pPr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D128AB" w:rsidP="00AE17E4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Туман кўп тармоқли маркази поликлиникаси охирги марта 2012 йил инвестиция доирасида курилиб, фойдаланишга топширилгандан буён жорий таъмирлаш ишлари ўтказилмаган, хозирги кунда хоналар срони етарли эмас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D128AB" w:rsidP="00AE17E4">
            <w:pPr>
              <w:jc w:val="both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</w:p>
        </w:tc>
      </w:tr>
      <w:tr w:rsidR="00D128AB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3652BC" w:rsidP="00600B3C">
            <w:pPr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3652BC" w:rsidP="00980AEC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 w:rsidRPr="003652BC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Тош Кенжаев ОШП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D128AB" w:rsidRPr="003652BC" w:rsidRDefault="00980AEC" w:rsidP="00AE17E4">
            <w:pPr>
              <w:jc w:val="both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М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ослаштирилган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, 1981 йилда қурилган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бинода жойлашган.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Бинода умуман таъмитрлаш ишлари бажарилмаган. Иситиш тизими тўла қувват билан ишламайди. Бинода сув ва канализация тизими мавжуд эмас. Дераза ва эшиклар ёғочдан, Бино қурилгандан бўён алмаштирилмаган.</w:t>
            </w:r>
          </w:p>
        </w:tc>
      </w:tr>
      <w:tr w:rsidR="00980AEC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980AEC" w:rsidRPr="003652BC" w:rsidRDefault="00980AEC" w:rsidP="00600B3C">
            <w:pPr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lastRenderedPageBreak/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980AEC" w:rsidRPr="003652BC" w:rsidRDefault="006D7E19" w:rsidP="00980AEC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31-Хайит элбеги ҚОП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980AEC" w:rsidRDefault="00A27EE5" w:rsidP="00A27EE5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 w:rsidRPr="00A27EE5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31-сонли Ҳайит Элбеги қишлоқ оилавий поликлиникаси биноси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1978 йилда қурилган биножа жойлашган. Бинода</w:t>
            </w:r>
            <w:r w:rsidRPr="00A27EE5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8 та хона мавжуд. Тез ёрдам шахобчаси учун 4 та хона талаб этилади, лекин, тез ёрдам шаҳобчаси 1 та хонада жойлашган. Хоналар етишмайди. 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Бир нечта тиббиёт ходимлари 1 та хонада фаолият кўрсатади. Бинорнинг ертула ва 1 қават оралиғида темир-бетон белбоғ(сейсмапояс) ўрнатилмаган. Б</w:t>
            </w:r>
            <w:r w:rsidRPr="00A27EE5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ино ҚМҚ (Қурилиш меъёрлари ва қоидалари) талабига жавоб бермайди,  таъмирталаб.</w:t>
            </w:r>
          </w:p>
        </w:tc>
      </w:tr>
      <w:tr w:rsidR="00853BD2" w:rsidRPr="00980AE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853BD2" w:rsidRDefault="00853BD2" w:rsidP="00600B3C">
            <w:pPr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color w:val="FF0000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853BD2" w:rsidRDefault="00D1530F" w:rsidP="00D1530F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 w:rsidRPr="00D1530F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Қораминос </w:t>
            </w: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ОШП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853BD2" w:rsidRPr="00A27EE5" w:rsidRDefault="00D1530F" w:rsidP="009C00CB">
            <w:pPr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Мослаштирилган, 1975 йилда қурилган бинода жойлашган</w:t>
            </w:r>
            <w:r w:rsidRPr="00D1530F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. Бинода канализация, сув таъминоти мавжуд эмас.</w:t>
            </w:r>
            <w:r w:rsidR="009C00CB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</w:t>
            </w:r>
            <w:r w:rsidRPr="00D1530F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>Бино</w:t>
            </w:r>
            <w:r w:rsidR="009C00CB">
              <w:rPr>
                <w:rFonts w:asciiTheme="majorHAnsi" w:hAnsiTheme="majorHAnsi" w:cs="Times New Roman"/>
                <w:color w:val="FF0000"/>
                <w:sz w:val="24"/>
                <w:szCs w:val="24"/>
                <w:lang w:val="uz-Cyrl-UZ"/>
              </w:rPr>
              <w:t xml:space="preserve"> ОШП га фойдаланиш учун ажратилгандан бўён таъмирланмаган. Хоналарнинг асосий қисми яроқсиз керамик пол билан қопланган. Мавжуд линолеум поллар яроқсиз.</w:t>
            </w:r>
            <w:bookmarkStart w:id="0" w:name="_GoBack"/>
            <w:bookmarkEnd w:id="0"/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6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  <w:r w:rsidRPr="00980AEC">
        <w:rPr>
          <w:rFonts w:ascii="Cambria" w:hAnsi="Cambria" w:cs="Times New Roman"/>
          <w:bCs/>
          <w:noProof/>
          <w:sz w:val="28"/>
          <w:szCs w:val="36"/>
          <w:lang w:val="uz-Cyrl-UZ"/>
        </w:rPr>
        <w:lastRenderedPageBreak/>
        <w:t>Ўзбекистон Республикаси</w:t>
      </w: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  <w:r w:rsidRPr="00980AEC">
        <w:rPr>
          <w:rFonts w:ascii="Cambria" w:hAnsi="Cambria" w:cs="Times New Roman"/>
          <w:bCs/>
          <w:noProof/>
          <w:sz w:val="28"/>
          <w:szCs w:val="36"/>
          <w:lang w:val="uz-Cyrl-UZ"/>
        </w:rPr>
        <w:t>Президентининг</w:t>
      </w: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  <w:r w:rsidRPr="00980AEC">
        <w:rPr>
          <w:rFonts w:ascii="Cambria" w:hAnsi="Cambria" w:cs="Times New Roman"/>
          <w:bCs/>
          <w:noProof/>
          <w:sz w:val="28"/>
          <w:szCs w:val="36"/>
          <w:lang w:val="uz-Cyrl-UZ"/>
        </w:rPr>
        <w:t>2020 йил 12 ноябрдаги</w:t>
      </w: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  <w:r w:rsidRPr="00980AEC">
        <w:rPr>
          <w:rFonts w:ascii="Cambria" w:hAnsi="Cambria" w:cs="Times New Roman"/>
          <w:bCs/>
          <w:noProof/>
          <w:sz w:val="28"/>
          <w:szCs w:val="36"/>
          <w:lang w:val="uz-Cyrl-UZ"/>
        </w:rPr>
        <w:t>ПФ-6110-сон Фармонига</w:t>
      </w: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  <w:r w:rsidRPr="00980AEC">
        <w:rPr>
          <w:rFonts w:ascii="Cambria" w:hAnsi="Cambria" w:cs="Times New Roman"/>
          <w:bCs/>
          <w:noProof/>
          <w:sz w:val="28"/>
          <w:szCs w:val="36"/>
          <w:lang w:val="uz-Cyrl-UZ"/>
        </w:rPr>
        <w:t>1-ИЛОВА</w:t>
      </w:r>
    </w:p>
    <w:p w:rsidR="00945554" w:rsidRPr="00980AEC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Cambria" w:hAnsi="Cambria" w:cs="Virtec Times New Roman Uz"/>
          <w:noProof/>
          <w:sz w:val="18"/>
          <w:szCs w:val="36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980AEC"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  <w:t xml:space="preserve">Янги тиббий профилактика ва </w:t>
      </w: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патронаж тизими устувор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равишда жорий қилинаётган туман (шаҳар)лар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</w:rPr>
        <w:t>РЎЙХАТИ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Times New Roman"/>
          <w:noProof/>
          <w:sz w:val="24"/>
          <w:szCs w:val="24"/>
        </w:rPr>
      </w:pPr>
      <w:r w:rsidRPr="00B07D1E">
        <w:rPr>
          <w:rFonts w:ascii="Cambria" w:hAnsi="Cambria" w:cs="Times New Roman"/>
          <w:noProof/>
          <w:sz w:val="24"/>
          <w:szCs w:val="24"/>
        </w:rPr>
        <w:t xml:space="preserve"> </w:t>
      </w:r>
    </w:p>
    <w:tbl>
      <w:tblPr>
        <w:tblW w:w="4120" w:type="pct"/>
        <w:jc w:val="center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3945"/>
        <w:gridCol w:w="4340"/>
      </w:tblGrid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Т/р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Ҳудудлар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Туман (шаҳар)лар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Қорақалпоғистон Республикаси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 Беруний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 Нукус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Андижон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 Қўрғонтепа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 Андижон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Бухоро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 Вобкент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 Когон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Жиззах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 Мирзачўл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 Жиззах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Қашқадарё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 Ғузор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 Қарши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Навоий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 Хатирчи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 Навоий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Наманган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 Тўрақўрғон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14. Наманган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Самарқанд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15. Иштихон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16. Каттақўрғон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Сурхондарё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17. Олтинсой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18. Термиз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19. Оққўрғон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20. Чирчиқ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Фарғона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21. Олтиариқ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22. Марғилон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Хоразм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23. Урганч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24. Урганч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шаҳри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25. Бектемир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26. Олмазор тумани</w:t>
            </w:r>
          </w:p>
        </w:tc>
      </w:tr>
    </w:tbl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Virtec Times New Roman Uz"/>
          <w:noProof/>
          <w:sz w:val="24"/>
          <w:szCs w:val="24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01F" w:rsidRDefault="0033501F" w:rsidP="00F0242E">
      <w:pPr>
        <w:spacing w:after="0" w:line="240" w:lineRule="auto"/>
      </w:pPr>
      <w:r>
        <w:separator/>
      </w:r>
    </w:p>
  </w:endnote>
  <w:endnote w:type="continuationSeparator" w:id="0">
    <w:p w:rsidR="0033501F" w:rsidRDefault="0033501F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01F" w:rsidRDefault="0033501F" w:rsidP="00F0242E">
      <w:pPr>
        <w:spacing w:after="0" w:line="240" w:lineRule="auto"/>
      </w:pPr>
      <w:r>
        <w:separator/>
      </w:r>
    </w:p>
  </w:footnote>
  <w:footnote w:type="continuationSeparator" w:id="0">
    <w:p w:rsidR="0033501F" w:rsidRDefault="0033501F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0C44D0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9C00CB" w:rsidRPr="009C00CB">
          <w:rPr>
            <w:rFonts w:ascii="Cambria" w:hAnsi="Cambria"/>
            <w:noProof/>
            <w:sz w:val="24"/>
            <w:lang w:val="ru-RU"/>
          </w:rPr>
          <w:t>5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0C44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CB"/>
    <w:rsid w:val="000827A3"/>
    <w:rsid w:val="00084075"/>
    <w:rsid w:val="000923CC"/>
    <w:rsid w:val="000B38FE"/>
    <w:rsid w:val="000C44D0"/>
    <w:rsid w:val="000D34F9"/>
    <w:rsid w:val="000D57A8"/>
    <w:rsid w:val="000E01F8"/>
    <w:rsid w:val="000F5A6B"/>
    <w:rsid w:val="00100402"/>
    <w:rsid w:val="0010065B"/>
    <w:rsid w:val="00100D5B"/>
    <w:rsid w:val="00122581"/>
    <w:rsid w:val="0013226C"/>
    <w:rsid w:val="00146607"/>
    <w:rsid w:val="00152834"/>
    <w:rsid w:val="00173986"/>
    <w:rsid w:val="00181106"/>
    <w:rsid w:val="001A3DAE"/>
    <w:rsid w:val="001B6942"/>
    <w:rsid w:val="001D2723"/>
    <w:rsid w:val="002020FE"/>
    <w:rsid w:val="002072B7"/>
    <w:rsid w:val="00224EC9"/>
    <w:rsid w:val="00235D26"/>
    <w:rsid w:val="00243950"/>
    <w:rsid w:val="00282BC6"/>
    <w:rsid w:val="00286288"/>
    <w:rsid w:val="00286D74"/>
    <w:rsid w:val="00287E89"/>
    <w:rsid w:val="00296F7B"/>
    <w:rsid w:val="002A0AFC"/>
    <w:rsid w:val="002A4F16"/>
    <w:rsid w:val="002B1F00"/>
    <w:rsid w:val="002D1BD5"/>
    <w:rsid w:val="002D4991"/>
    <w:rsid w:val="003046BB"/>
    <w:rsid w:val="00313D77"/>
    <w:rsid w:val="0033501F"/>
    <w:rsid w:val="003652BC"/>
    <w:rsid w:val="00396048"/>
    <w:rsid w:val="003B5ABC"/>
    <w:rsid w:val="003C2CF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505110"/>
    <w:rsid w:val="0051034F"/>
    <w:rsid w:val="0051556F"/>
    <w:rsid w:val="00530B61"/>
    <w:rsid w:val="00544D6C"/>
    <w:rsid w:val="00544F16"/>
    <w:rsid w:val="00561ACB"/>
    <w:rsid w:val="005632BD"/>
    <w:rsid w:val="00590EBB"/>
    <w:rsid w:val="0059270A"/>
    <w:rsid w:val="005D750C"/>
    <w:rsid w:val="005E761D"/>
    <w:rsid w:val="005F7A3E"/>
    <w:rsid w:val="00625B19"/>
    <w:rsid w:val="00645E66"/>
    <w:rsid w:val="00647B27"/>
    <w:rsid w:val="006570F1"/>
    <w:rsid w:val="006572F6"/>
    <w:rsid w:val="006819AF"/>
    <w:rsid w:val="006C5748"/>
    <w:rsid w:val="006D19B5"/>
    <w:rsid w:val="006D5583"/>
    <w:rsid w:val="006D7E19"/>
    <w:rsid w:val="007115FB"/>
    <w:rsid w:val="00760BA1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20F87"/>
    <w:rsid w:val="008259E7"/>
    <w:rsid w:val="00844F2B"/>
    <w:rsid w:val="00853BD2"/>
    <w:rsid w:val="008A43F2"/>
    <w:rsid w:val="008D106E"/>
    <w:rsid w:val="008D62FD"/>
    <w:rsid w:val="008F7222"/>
    <w:rsid w:val="00907C9E"/>
    <w:rsid w:val="00917D6E"/>
    <w:rsid w:val="00945554"/>
    <w:rsid w:val="00970A93"/>
    <w:rsid w:val="00980AEC"/>
    <w:rsid w:val="009902AE"/>
    <w:rsid w:val="009A7D42"/>
    <w:rsid w:val="009C00CB"/>
    <w:rsid w:val="009D3FCF"/>
    <w:rsid w:val="009E7734"/>
    <w:rsid w:val="009F7034"/>
    <w:rsid w:val="00A04A61"/>
    <w:rsid w:val="00A11CE2"/>
    <w:rsid w:val="00A27EE5"/>
    <w:rsid w:val="00A366B4"/>
    <w:rsid w:val="00A65C3F"/>
    <w:rsid w:val="00A829AF"/>
    <w:rsid w:val="00AA5650"/>
    <w:rsid w:val="00AA6B09"/>
    <w:rsid w:val="00AC6C56"/>
    <w:rsid w:val="00AD0F1C"/>
    <w:rsid w:val="00AD33F8"/>
    <w:rsid w:val="00AE17E4"/>
    <w:rsid w:val="00AE6844"/>
    <w:rsid w:val="00AF2185"/>
    <w:rsid w:val="00B07D1E"/>
    <w:rsid w:val="00B13D02"/>
    <w:rsid w:val="00B21E99"/>
    <w:rsid w:val="00B96CF8"/>
    <w:rsid w:val="00BA6B5F"/>
    <w:rsid w:val="00BE3EA9"/>
    <w:rsid w:val="00C06D43"/>
    <w:rsid w:val="00C217C3"/>
    <w:rsid w:val="00C331E3"/>
    <w:rsid w:val="00CA67E5"/>
    <w:rsid w:val="00CB27CA"/>
    <w:rsid w:val="00CD571F"/>
    <w:rsid w:val="00CD7092"/>
    <w:rsid w:val="00CE6C77"/>
    <w:rsid w:val="00CE700E"/>
    <w:rsid w:val="00CF15E5"/>
    <w:rsid w:val="00D1140A"/>
    <w:rsid w:val="00D128AB"/>
    <w:rsid w:val="00D1530F"/>
    <w:rsid w:val="00D22E46"/>
    <w:rsid w:val="00D345B1"/>
    <w:rsid w:val="00D3701D"/>
    <w:rsid w:val="00D416BF"/>
    <w:rsid w:val="00D4517E"/>
    <w:rsid w:val="00DA5668"/>
    <w:rsid w:val="00DD1E98"/>
    <w:rsid w:val="00DD38A7"/>
    <w:rsid w:val="00DF2D12"/>
    <w:rsid w:val="00DF390F"/>
    <w:rsid w:val="00DF3B53"/>
    <w:rsid w:val="00E23961"/>
    <w:rsid w:val="00E30C2E"/>
    <w:rsid w:val="00E4142E"/>
    <w:rsid w:val="00E56589"/>
    <w:rsid w:val="00E6518C"/>
    <w:rsid w:val="00E813D5"/>
    <w:rsid w:val="00E97F24"/>
    <w:rsid w:val="00EA799F"/>
    <w:rsid w:val="00EB51BC"/>
    <w:rsid w:val="00EB6664"/>
    <w:rsid w:val="00ED249E"/>
    <w:rsid w:val="00EF2B64"/>
    <w:rsid w:val="00F0242E"/>
    <w:rsid w:val="00F4180D"/>
    <w:rsid w:val="00F560AA"/>
    <w:rsid w:val="00F76C9D"/>
    <w:rsid w:val="00FA111C"/>
    <w:rsid w:val="00FB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A782"/>
  <w15:docId w15:val="{48B95CA8-9810-46D1-9C70-0EF2A00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Ilyos Shaymardanov</dc:creator>
  <cp:lastModifiedBy>User</cp:lastModifiedBy>
  <cp:revision>30</cp:revision>
  <cp:lastPrinted>2021-01-29T12:20:00Z</cp:lastPrinted>
  <dcterms:created xsi:type="dcterms:W3CDTF">2021-01-29T11:32:00Z</dcterms:created>
  <dcterms:modified xsi:type="dcterms:W3CDTF">2021-02-02T03:58:00Z</dcterms:modified>
</cp:coreProperties>
</file>