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553A" w:rsidRDefault="00000000">
      <w:pPr>
        <w:spacing w:before="320" w:after="80"/>
      </w:pPr>
      <w:r>
        <w:rPr>
          <w:b/>
          <w:color w:val="B58620"/>
          <w:sz w:val="19"/>
        </w:rPr>
        <w:t>COMMERCIAL AGREEMENT</w:t>
      </w:r>
    </w:p>
    <w:p w:rsidR="004F553A" w:rsidRDefault="00000000">
      <w:r>
        <w:rPr>
          <w:b/>
          <w:color w:val="17365D"/>
          <w:sz w:val="60"/>
        </w:rPr>
        <w:t>ICSS Booking System</w:t>
      </w:r>
    </w:p>
    <w:p w:rsidR="004F553A" w:rsidRDefault="00000000">
      <w:pPr>
        <w:pStyle w:val="AgreementSubtitle"/>
      </w:pPr>
      <w:r>
        <w:rPr>
          <w:sz w:val="28"/>
        </w:rPr>
        <w:t>Marketing Services and Revenue Share Agreement</w:t>
      </w:r>
    </w:p>
    <w:tbl>
      <w:tblPr>
        <w:tblStyle w:val="TableGrid"/>
        <w:tblW w:w="9360" w:type="dxa"/>
        <w:tblInd w:w="120" w:type="dxa"/>
        <w:tblLayout w:type="fixed"/>
        <w:tblLook w:val="04A0" w:firstRow="1" w:lastRow="0" w:firstColumn="1" w:lastColumn="0" w:noHBand="0" w:noVBand="1"/>
      </w:tblPr>
      <w:tblGrid>
        <w:gridCol w:w="2400"/>
        <w:gridCol w:w="6960"/>
      </w:tblGrid>
      <w:tr w:rsidR="004F553A">
        <w:tc>
          <w:tcPr>
            <w:tcW w:w="240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Platform Owner</w:t>
            </w:r>
          </w:p>
        </w:tc>
        <w:tc>
          <w:tcPr>
            <w:tcW w:w="6960" w:type="dxa"/>
            <w:tcMar>
              <w:top w:w="80" w:type="dxa"/>
              <w:left w:w="120" w:type="dxa"/>
              <w:bottom w:w="80" w:type="dxa"/>
              <w:right w:w="120" w:type="dxa"/>
            </w:tcMar>
            <w:vAlign w:val="center"/>
          </w:tcPr>
          <w:p w:rsidR="004F553A" w:rsidRDefault="00000000">
            <w:pPr>
              <w:spacing w:after="0"/>
            </w:pPr>
            <w:r>
              <w:rPr>
                <w:sz w:val="21"/>
              </w:rPr>
              <w:t xml:space="preserve">Shamar Baker, trading as </w:t>
            </w:r>
            <w:r w:rsidR="00300F03">
              <w:rPr>
                <w:sz w:val="21"/>
              </w:rPr>
              <w:t>I Create Solutions &amp; Services</w:t>
            </w:r>
          </w:p>
        </w:tc>
      </w:tr>
      <w:tr w:rsidR="004F553A">
        <w:tc>
          <w:tcPr>
            <w:tcW w:w="240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Marketing Partner</w:t>
            </w:r>
          </w:p>
        </w:tc>
        <w:tc>
          <w:tcPr>
            <w:tcW w:w="6960" w:type="dxa"/>
            <w:tcMar>
              <w:top w:w="80" w:type="dxa"/>
              <w:left w:w="120" w:type="dxa"/>
              <w:bottom w:w="80" w:type="dxa"/>
              <w:right w:w="120" w:type="dxa"/>
            </w:tcMar>
            <w:vAlign w:val="center"/>
          </w:tcPr>
          <w:p w:rsidR="004F553A" w:rsidRDefault="00000000">
            <w:pPr>
              <w:spacing w:after="0"/>
            </w:pPr>
            <w:r>
              <w:rPr>
                <w:b/>
                <w:color w:val="7E6000"/>
                <w:highlight w:val="yellow"/>
              </w:rPr>
              <w:t>[INSERT PARTNER'S FULL LEGAL NAME]</w:t>
            </w:r>
          </w:p>
        </w:tc>
      </w:tr>
      <w:tr w:rsidR="004F553A">
        <w:tc>
          <w:tcPr>
            <w:tcW w:w="240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Effective Date</w:t>
            </w:r>
          </w:p>
        </w:tc>
        <w:tc>
          <w:tcPr>
            <w:tcW w:w="6960" w:type="dxa"/>
            <w:tcMar>
              <w:top w:w="80" w:type="dxa"/>
              <w:left w:w="120" w:type="dxa"/>
              <w:bottom w:w="80" w:type="dxa"/>
              <w:right w:w="120" w:type="dxa"/>
            </w:tcMar>
            <w:vAlign w:val="center"/>
          </w:tcPr>
          <w:p w:rsidR="004F553A" w:rsidRDefault="00000000">
            <w:pPr>
              <w:spacing w:after="0"/>
            </w:pPr>
            <w:r>
              <w:rPr>
                <w:b/>
                <w:color w:val="7E6000"/>
                <w:highlight w:val="yellow"/>
              </w:rPr>
              <w:t>[INSERT DATE]</w:t>
            </w:r>
          </w:p>
        </w:tc>
      </w:tr>
      <w:tr w:rsidR="004F553A">
        <w:tc>
          <w:tcPr>
            <w:tcW w:w="240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Governing Law</w:t>
            </w:r>
          </w:p>
        </w:tc>
        <w:tc>
          <w:tcPr>
            <w:tcW w:w="6960" w:type="dxa"/>
            <w:tcMar>
              <w:top w:w="80" w:type="dxa"/>
              <w:left w:w="120" w:type="dxa"/>
              <w:bottom w:w="80" w:type="dxa"/>
              <w:right w:w="120" w:type="dxa"/>
            </w:tcMar>
            <w:vAlign w:val="center"/>
          </w:tcPr>
          <w:p w:rsidR="004F553A" w:rsidRDefault="00000000">
            <w:pPr>
              <w:spacing w:after="0"/>
            </w:pPr>
            <w:r>
              <w:rPr>
                <w:sz w:val="21"/>
              </w:rPr>
              <w:t>Jamaica</w:t>
            </w:r>
          </w:p>
        </w:tc>
      </w:tr>
    </w:tbl>
    <w:p w:rsidR="004F553A" w:rsidRDefault="004F553A">
      <w:pPr>
        <w:spacing w:after="0"/>
      </w:pPr>
    </w:p>
    <w:p w:rsidR="004F553A" w:rsidRDefault="00000000">
      <w:pPr>
        <w:spacing w:before="320" w:after="80"/>
        <w:jc w:val="center"/>
      </w:pPr>
      <w:r>
        <w:rPr>
          <w:i/>
          <w:color w:val="5A626C"/>
          <w:sz w:val="20"/>
        </w:rPr>
        <w:t>Private and confidential</w:t>
      </w:r>
    </w:p>
    <w:p w:rsidR="004F553A" w:rsidRDefault="00000000">
      <w:r>
        <w:br w:type="page"/>
      </w:r>
    </w:p>
    <w:p w:rsidR="004F553A" w:rsidRDefault="00000000">
      <w:pPr>
        <w:keepNext/>
        <w:spacing w:after="200"/>
      </w:pPr>
      <w:r>
        <w:rPr>
          <w:b/>
          <w:color w:val="17365D"/>
          <w:sz w:val="36"/>
        </w:rPr>
        <w:lastRenderedPageBreak/>
        <w:t>MARKETING SERVICES AND REVENUE SHARE AGREEMENT</w:t>
      </w:r>
    </w:p>
    <w:p w:rsidR="004F553A" w:rsidRDefault="00000000">
      <w:pPr>
        <w:jc w:val="both"/>
      </w:pPr>
      <w:r>
        <w:t>This Marketing Services and Revenue Share Agreement (the “Agreement”) is made as of the Effective Date stated in Schedule 1 between the person identified there as the Platform Owner (“Owner”) and the person identified there as the Marketing Partner (“Partner”). Each is a “Party” and together they are the “Parties.”</w:t>
      </w:r>
    </w:p>
    <w:p w:rsidR="004F553A" w:rsidRDefault="00000000">
      <w:pPr>
        <w:pStyle w:val="Heading1"/>
      </w:pPr>
      <w:r>
        <w:rPr>
          <w:rFonts w:ascii="Calibri" w:hAnsi="Calibri"/>
        </w:rPr>
        <w:t>1. Background and Purpose</w:t>
      </w:r>
    </w:p>
    <w:p w:rsidR="004F553A" w:rsidRDefault="00000000">
      <w:r>
        <w:rPr>
          <w:b/>
        </w:rPr>
        <w:t xml:space="preserve">1.1 </w:t>
      </w:r>
      <w:r>
        <w:t>The Owner owns and operates the ICSS Booking System, a commercial multi-tenant software-as-a-service platform that provides configurable booking engines, tenant administration, subscription plans, payment integrations, branded communications, invoices, pricing tools, and related functionality (the “Platform”).</w:t>
      </w:r>
    </w:p>
    <w:p w:rsidR="004F553A" w:rsidRDefault="00000000">
      <w:r>
        <w:rPr>
          <w:b/>
        </w:rPr>
        <w:t xml:space="preserve">1.2 </w:t>
      </w:r>
      <w:r>
        <w:t>The Partner will provide marketing, social-media management, audience engagement, campaign support, and tenant-referral services. The Owner will retain responsibility for Platform technology, security, billing, product decisions, and technical operations.</w:t>
      </w:r>
    </w:p>
    <w:p w:rsidR="004F553A" w:rsidRDefault="00000000">
      <w:r>
        <w:rPr>
          <w:b/>
        </w:rPr>
        <w:t xml:space="preserve">1.3 </w:t>
      </w:r>
      <w:r>
        <w:t>The purpose of this Agreement is to define the Partner’s appointment, the rules for attributing Referred Tenants, the 50% revenue share, ownership and access controls, and the Parties’ rights when the relationship ends.</w:t>
      </w:r>
    </w:p>
    <w:p w:rsidR="004F553A" w:rsidRDefault="00000000">
      <w:pPr>
        <w:pStyle w:val="Heading1"/>
      </w:pPr>
      <w:r>
        <w:rPr>
          <w:rFonts w:ascii="Calibri" w:hAnsi="Calibri"/>
        </w:rPr>
        <w:t>2. Appointment and Nature of Relationship</w:t>
      </w:r>
    </w:p>
    <w:p w:rsidR="004F553A" w:rsidRDefault="00000000">
      <w:r>
        <w:rPr>
          <w:b/>
        </w:rPr>
        <w:t xml:space="preserve">2.1 Appointment. </w:t>
      </w:r>
      <w:r>
        <w:t>The Owner appoints the Partner, and the Partner accepts appointment, as a non-exclusive independent marketing and referral contractor for the Platform during the Term.</w:t>
      </w:r>
    </w:p>
    <w:p w:rsidR="004F553A" w:rsidRDefault="00000000">
      <w:r>
        <w:rPr>
          <w:b/>
        </w:rPr>
        <w:t xml:space="preserve">2.2 No legal partnership. </w:t>
      </w:r>
      <w:r>
        <w:t>Despite the commercial use of the word “partner,” this Agreement does not create a partnership, joint venture, fiduciary relationship, employment relationship, franchise, or agency. Neither Party may bind the other, incur obligations in the other’s name, make warranties on the other’s behalf, or represent that it has authority to do so.</w:t>
      </w:r>
    </w:p>
    <w:p w:rsidR="004F553A" w:rsidRDefault="00000000">
      <w:r>
        <w:rPr>
          <w:b/>
        </w:rPr>
        <w:t xml:space="preserve">2.3 No equity or ownership interest. </w:t>
      </w:r>
      <w:r>
        <w:t>The revenue share is contractual compensation only. It does not give the Partner any shares, voting rights, equity, management rights, beneficial ownership, or other interest in the Owner, the Platform, or any Tenant.</w:t>
      </w:r>
    </w:p>
    <w:p w:rsidR="004F553A" w:rsidRDefault="00000000">
      <w:r>
        <w:rPr>
          <w:b/>
        </w:rPr>
        <w:t xml:space="preserve">2.4 Non-exclusivity. </w:t>
      </w:r>
      <w:r>
        <w:t>The Owner may market the Platform directly and may appoint other marketers, agents, resellers, or referral partners. A Tenant properly attributed to the Partner under section 7 remains the Partner’s Referred Tenant, subject to this Agreement.</w:t>
      </w:r>
    </w:p>
    <w:p w:rsidR="004F553A" w:rsidRDefault="00000000">
      <w:pPr>
        <w:pStyle w:val="Heading1"/>
      </w:pPr>
      <w:r>
        <w:rPr>
          <w:rFonts w:ascii="Calibri" w:hAnsi="Calibri"/>
        </w:rPr>
        <w:t>3. Definitions</w:t>
      </w:r>
    </w:p>
    <w:tbl>
      <w:tblPr>
        <w:tblStyle w:val="TableGrid"/>
        <w:tblW w:w="9360" w:type="dxa"/>
        <w:tblInd w:w="120" w:type="dxa"/>
        <w:tblLayout w:type="fixed"/>
        <w:tblLook w:val="04A0" w:firstRow="1" w:lastRow="0" w:firstColumn="1" w:lastColumn="0" w:noHBand="0" w:noVBand="1"/>
      </w:tblPr>
      <w:tblGrid>
        <w:gridCol w:w="2400"/>
        <w:gridCol w:w="6960"/>
      </w:tblGrid>
      <w:tr w:rsidR="004F553A">
        <w:trPr>
          <w:tblHeader/>
        </w:trPr>
        <w:tc>
          <w:tcPr>
            <w:tcW w:w="240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Defined term</w:t>
            </w:r>
          </w:p>
        </w:tc>
        <w:tc>
          <w:tcPr>
            <w:tcW w:w="6960" w:type="dxa"/>
            <w:shd w:val="clear" w:color="auto" w:fill="F2F4F7"/>
            <w:tcMar>
              <w:top w:w="80" w:type="dxa"/>
              <w:left w:w="120" w:type="dxa"/>
              <w:bottom w:w="80" w:type="dxa"/>
              <w:right w:w="120" w:type="dxa"/>
            </w:tcMar>
            <w:vAlign w:val="center"/>
          </w:tcPr>
          <w:p w:rsidR="004F553A" w:rsidRDefault="00000000">
            <w:pPr>
              <w:spacing w:after="0"/>
            </w:pPr>
            <w:r>
              <w:rPr>
                <w:b/>
                <w:color w:val="17365D"/>
                <w:sz w:val="20"/>
              </w:rPr>
              <w:t>Meaning</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Active Paying Tenant</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Tenant whose paid subscription is current, has not been refunded or charged back, and has not been suspended or terminated for non-payment, fraud, breach, or other cause</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lastRenderedPageBreak/>
              <w:t>Approved Campaign</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material campaign, promotion, discount, public announcement, or advertising spend approved in writing by the Owner before launch</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Business Day</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day other than Saturday, Sunday, or a public holiday in Jamaica</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Confidential Information</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all non-public business, technical, commercial, security, financial, customer, Tenant, pricing, product, credential, and personal information disclosed or made accessible in connection with this Agreement</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Direct Competitor</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person or business that offers a multi-tenant booking, appointment, scheduling, or closely substitutable SaaS platform to substantially the same target market as the Platform</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Gross Subscription Revenue</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recurring subscription-plan fees actually received and cleared by the Owner from a Referred Tenant for access to the Platform</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Net Subscription Revenue</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Gross Subscription Revenue less: refunds, credits, chargebacks, payment-processing fees, sales or consumption taxes, withholding taxes, fraud losses, currency-conversion costs charged by a processor or bank, and amounts the Owner is required to return or remit to another person</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Personal Data</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personal data as defined under applicable data-protection law, including information relating to an identified or identifiable individual</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Referred Tenant</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Tenant attributed to the Partner through the process and conditions in section 7</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Social Platforms</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the official ICSS Booking System social-media pages, channels, ad accounts, business-manager accounts, communities, and other marketing accounts listed in Schedule 1 or later approved in writing</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Tenant</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a business or person that contracts and pays for a subscription to use the Platform</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Term</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the period beginning on the Effective Date and ending when this Agreement is terminated in accordance with section 16</w:t>
            </w:r>
          </w:p>
        </w:tc>
      </w:tr>
      <w:tr w:rsidR="004F553A">
        <w:tc>
          <w:tcPr>
            <w:tcW w:w="2400" w:type="dxa"/>
            <w:tcMar>
              <w:top w:w="80" w:type="dxa"/>
              <w:left w:w="120" w:type="dxa"/>
              <w:bottom w:w="80" w:type="dxa"/>
              <w:right w:w="120" w:type="dxa"/>
            </w:tcMar>
            <w:vAlign w:val="center"/>
          </w:tcPr>
          <w:p w:rsidR="004F553A" w:rsidRDefault="00000000">
            <w:pPr>
              <w:spacing w:after="0"/>
            </w:pPr>
            <w:r>
              <w:rPr>
                <w:b/>
                <w:sz w:val="19"/>
              </w:rPr>
              <w:t>Work Product</w:t>
            </w:r>
          </w:p>
        </w:tc>
        <w:tc>
          <w:tcPr>
            <w:tcW w:w="6960" w:type="dxa"/>
            <w:tcMar>
              <w:top w:w="80" w:type="dxa"/>
              <w:left w:w="120" w:type="dxa"/>
              <w:bottom w:w="80" w:type="dxa"/>
              <w:right w:w="120" w:type="dxa"/>
            </w:tcMar>
            <w:vAlign w:val="center"/>
          </w:tcPr>
          <w:p w:rsidR="004F553A" w:rsidRDefault="00000000">
            <w:pPr>
              <w:spacing w:after="0" w:line="252" w:lineRule="auto"/>
            </w:pPr>
            <w:r>
              <w:rPr>
                <w:sz w:val="19"/>
              </w:rPr>
              <w:t>content and materials created specifically for the Platform under this Agreement, including copy, graphics, video, campaign concepts, templates, scripts, reports, lead records, and account configurations</w:t>
            </w:r>
          </w:p>
        </w:tc>
      </w:tr>
    </w:tbl>
    <w:p w:rsidR="004F553A" w:rsidRDefault="00000000">
      <w:pPr>
        <w:pStyle w:val="Heading1"/>
      </w:pPr>
      <w:r>
        <w:rPr>
          <w:rFonts w:ascii="Calibri" w:hAnsi="Calibri"/>
        </w:rPr>
        <w:t>4. Term</w:t>
      </w:r>
    </w:p>
    <w:p w:rsidR="004F553A" w:rsidRDefault="00000000">
      <w:r>
        <w:rPr>
          <w:b/>
        </w:rPr>
        <w:t xml:space="preserve">4.1 </w:t>
      </w:r>
      <w:r>
        <w:t>This Agreement begins on the Effective Date and continues until terminated under section 16.</w:t>
      </w:r>
    </w:p>
    <w:p w:rsidR="004F553A" w:rsidRDefault="00000000">
      <w:r>
        <w:rPr>
          <w:b/>
        </w:rPr>
        <w:t xml:space="preserve">4.2 </w:t>
      </w:r>
      <w:r>
        <w:t>The Parties may review the commercial terms, marketing scope, and performance cadence at least once every twelve months. No review changes the 50% revenue share or any other term unless both Parties sign a written amendment.</w:t>
      </w:r>
    </w:p>
    <w:p w:rsidR="004F553A" w:rsidRDefault="00000000">
      <w:pPr>
        <w:pStyle w:val="Heading1"/>
      </w:pPr>
      <w:r>
        <w:rPr>
          <w:rFonts w:ascii="Calibri" w:hAnsi="Calibri"/>
        </w:rPr>
        <w:t>5. Partner Responsibilities</w:t>
      </w:r>
    </w:p>
    <w:p w:rsidR="004F553A" w:rsidRDefault="00000000">
      <w:r>
        <w:rPr>
          <w:b/>
        </w:rPr>
        <w:t xml:space="preserve">5.1 Marketing services. </w:t>
      </w:r>
      <w:r>
        <w:t>The Partner shall use commercially reasonable efforts to build awareness of the Platform, generate qualified leads, and manage the Social Platforms in accordance with the cadence, channels, and approval contacts in Schedule 1.</w:t>
      </w:r>
    </w:p>
    <w:p w:rsidR="004F553A" w:rsidRDefault="00000000">
      <w:r>
        <w:rPr>
          <w:b/>
        </w:rPr>
        <w:lastRenderedPageBreak/>
        <w:t xml:space="preserve">5.2 Content and engagement. </w:t>
      </w:r>
      <w:r>
        <w:t>The Partner shall plan, create, schedule, and publish professional content; engage reasonably with public comments and messages; maintain an accurate content calendar; and escalate sales, support, privacy, security, legal, or reputational issues to the Owner promptly.</w:t>
      </w:r>
    </w:p>
    <w:p w:rsidR="004F553A" w:rsidRDefault="00000000">
      <w:r>
        <w:rPr>
          <w:b/>
        </w:rPr>
        <w:t xml:space="preserve">5.3 Lead generation. </w:t>
      </w:r>
      <w:r>
        <w:t>The Partner shall actively identify prospective Tenants, accurately explain the Platform at a high level, use the agreed tracking process, and provide sufficient lead details for attribution and follow-up.</w:t>
      </w:r>
    </w:p>
    <w:p w:rsidR="004F553A" w:rsidRDefault="00000000">
      <w:r>
        <w:rPr>
          <w:b/>
        </w:rPr>
        <w:t xml:space="preserve">5.4 Accuracy and approvals. </w:t>
      </w:r>
      <w:r>
        <w:t>The Partner shall not publish false, misleading, unsubstantiated, defamatory, infringing, unlawful, or materially inaccurate claims. The Partner must obtain written approval before announcing pricing changes, discounts, guarantees, security claims, integrations, launch dates, contractual terms, or any Approved Campaign.</w:t>
      </w:r>
    </w:p>
    <w:p w:rsidR="004F553A" w:rsidRDefault="00000000">
      <w:r>
        <w:rPr>
          <w:b/>
        </w:rPr>
        <w:t xml:space="preserve">5.5 No binding authority. </w:t>
      </w:r>
      <w:r>
        <w:t>The Partner may not sign Tenant agreements, collect subscription payments in the Partner’s own account, change pricing, offer credits, promise custom development, grant licences, accept liability, or bind the Owner without prior written authority for that specific action.</w:t>
      </w:r>
    </w:p>
    <w:p w:rsidR="004F553A" w:rsidRDefault="00000000">
      <w:r>
        <w:rPr>
          <w:b/>
        </w:rPr>
        <w:t xml:space="preserve">5.6 Compliance. </w:t>
      </w:r>
      <w:r>
        <w:t>The Partner shall comply with applicable laws, advertising and consumer-protection requirements, intellectual-property rights, privacy obligations, platform terms of service, and the Owner’s reasonable brand and security instructions.</w:t>
      </w:r>
    </w:p>
    <w:p w:rsidR="004F553A" w:rsidRDefault="00000000">
      <w:r>
        <w:rPr>
          <w:b/>
        </w:rPr>
        <w:t xml:space="preserve">5.7 Reporting and records. </w:t>
      </w:r>
      <w:r>
        <w:t>By the fifth Business Day of each month, the Partner shall provide a concise report covering content published, campaign results, audience activity, leads submitted, active opportunities, approved spend, and any issue requiring the Owner’s decision.</w:t>
      </w:r>
    </w:p>
    <w:p w:rsidR="004F553A" w:rsidRDefault="00000000">
      <w:r>
        <w:rPr>
          <w:b/>
        </w:rPr>
        <w:t xml:space="preserve">5.8 Professional conduct. </w:t>
      </w:r>
      <w:r>
        <w:t>The Partner shall act honestly and professionally and shall not use harassment, spam, purchased fake engagement, deceptive testimonials, undisclosed impersonation, or other practices reasonably likely to damage the Platform or the Owner’s reputation.</w:t>
      </w:r>
    </w:p>
    <w:p w:rsidR="004F553A" w:rsidRDefault="00000000">
      <w:pPr>
        <w:pStyle w:val="Heading1"/>
      </w:pPr>
      <w:r>
        <w:rPr>
          <w:rFonts w:ascii="Calibri" w:hAnsi="Calibri"/>
        </w:rPr>
        <w:t>6. Owner Responsibilities</w:t>
      </w:r>
    </w:p>
    <w:p w:rsidR="004F553A" w:rsidRDefault="00000000">
      <w:r>
        <w:rPr>
          <w:b/>
        </w:rPr>
        <w:t xml:space="preserve">6.1 Platform operations. </w:t>
      </w:r>
      <w:r>
        <w:t>The Owner shall manage Platform development, hosting, maintenance, security, data architecture, payment integrations, subscription administration, and technical support using commercially reasonable care.</w:t>
      </w:r>
    </w:p>
    <w:p w:rsidR="004F553A" w:rsidRDefault="00000000">
      <w:r>
        <w:rPr>
          <w:b/>
        </w:rPr>
        <w:t xml:space="preserve">6.2 Product control. </w:t>
      </w:r>
      <w:r>
        <w:t>The Owner retains final decision-making authority over product direction, pricing, plans, features, Tenant acceptance, contractual terms, operations, security, vendors, and all technical and commercial policies.</w:t>
      </w:r>
    </w:p>
    <w:p w:rsidR="004F553A" w:rsidRDefault="00000000">
      <w:r>
        <w:rPr>
          <w:b/>
        </w:rPr>
        <w:t xml:space="preserve">6.3 Marketing enablement. </w:t>
      </w:r>
      <w:r>
        <w:t>The Owner shall provide reasonable access to approved brand assets, accurate product information, campaign approvals, and the referral-tracking method needed for the Partner to perform the services.</w:t>
      </w:r>
    </w:p>
    <w:p w:rsidR="004F553A" w:rsidRDefault="00000000">
      <w:r>
        <w:rPr>
          <w:b/>
        </w:rPr>
        <w:t xml:space="preserve">6.4 Statements and payments. </w:t>
      </w:r>
      <w:r>
        <w:t>The Owner shall maintain reasonable records of accepted referrals and amounts payable, issue monthly statements, and pay valid revenue-share amounts in accordance with section 8.</w:t>
      </w:r>
    </w:p>
    <w:p w:rsidR="004F553A" w:rsidRDefault="00000000">
      <w:r>
        <w:rPr>
          <w:b/>
        </w:rPr>
        <w:t xml:space="preserve">6.5 Support boundary. </w:t>
      </w:r>
      <w:r>
        <w:t xml:space="preserve">The Owner is responsible for Platform-level technical support. Unless the Owner agrees otherwise in writing, the Owner is not responsible for operating a Tenant’s business, handling </w:t>
      </w:r>
      <w:r>
        <w:lastRenderedPageBreak/>
        <w:t>that Tenant’s end-customer service, fulfilling the Tenant’s appointments or orders, or resolving disputes between a Tenant and its customers.</w:t>
      </w:r>
    </w:p>
    <w:p w:rsidR="004F553A" w:rsidRDefault="00000000">
      <w:r>
        <w:rPr>
          <w:b/>
        </w:rPr>
        <w:t xml:space="preserve">6.6 Service changes. </w:t>
      </w:r>
      <w:r>
        <w:t>The Owner may update, replace, suspend, or discontinue features where reasonably required for security, law, vendor changes, maintenance, commercial viability, or product development. The Owner will give the Partner reasonable notice of material customer-facing changes when practicable.</w:t>
      </w:r>
    </w:p>
    <w:p w:rsidR="004F553A" w:rsidRDefault="00000000">
      <w:pPr>
        <w:pStyle w:val="Heading1"/>
      </w:pPr>
      <w:r>
        <w:rPr>
          <w:rFonts w:ascii="Calibri" w:hAnsi="Calibri"/>
        </w:rPr>
        <w:t>7. Referral Attribution</w:t>
      </w:r>
    </w:p>
    <w:p w:rsidR="004F553A" w:rsidRDefault="00000000">
      <w:r>
        <w:rPr>
          <w:b/>
        </w:rPr>
        <w:t xml:space="preserve">7.1 Lead registration. </w:t>
      </w:r>
      <w:r>
        <w:t>Before or promptly after the first substantive introduction, the Partner must submit the prospective Tenant through the agreed referral link, referral code, CRM record, email, or other written method specified in Schedule 1. The submission must identify the prospect, a reliable contact method, the date, the source, and the Partner’s involvement.</w:t>
      </w:r>
    </w:p>
    <w:p w:rsidR="004F553A" w:rsidRDefault="00000000">
      <w:r>
        <w:rPr>
          <w:b/>
        </w:rPr>
        <w:t xml:space="preserve">7.2 Acceptance or rejection. </w:t>
      </w:r>
      <w:r>
        <w:t>Within five Business Days after receiving sufficient information, the Owner shall confirm whether the lead is accepted. The Owner may reasonably reject a lead that is already a Tenant; was in the Owner’s documented active sales pipeline during the preceding ninety days; was first registered by another source; lacks reliable identifying information; is a self-referral or related-party referral not approved in writing; or presents legal, fraud, credit, reputational, or operational risk.</w:t>
      </w:r>
    </w:p>
    <w:p w:rsidR="004F553A" w:rsidRDefault="00000000">
      <w:r>
        <w:rPr>
          <w:b/>
        </w:rPr>
        <w:t xml:space="preserve">7.3 Conversion window. </w:t>
      </w:r>
      <w:r>
        <w:t>An accepted lead becomes a Referred Tenant if it enters a paid Platform subscription within 180 days after acceptance. The Owner may extend that period in writing. If the period expires, the Partner may re-register the lead if it is not then active in another documented sales channel.</w:t>
      </w:r>
    </w:p>
    <w:p w:rsidR="004F553A" w:rsidRDefault="00000000">
      <w:r>
        <w:rPr>
          <w:b/>
        </w:rPr>
        <w:t xml:space="preserve">7.4 Duplicate claims. </w:t>
      </w:r>
      <w:r>
        <w:t>The first complete referral record accepted by the Owner controls. The Owner shall decide duplicate or disputed claims reasonably and in good faith using timestamps, communications, CRM records, and evidence of the material introduction.</w:t>
      </w:r>
    </w:p>
    <w:p w:rsidR="004F553A" w:rsidRDefault="00000000">
      <w:r>
        <w:rPr>
          <w:b/>
        </w:rPr>
        <w:t xml:space="preserve">7.5 Reactivation. </w:t>
      </w:r>
      <w:r>
        <w:t>If a Referred Tenant cancels and resumes a paid subscription within twelve months, the resumed subscription remains attributed to the Partner. A reactivation after twelve months is treated as a new sale unless the Owner agrees otherwise in writing.</w:t>
      </w:r>
    </w:p>
    <w:p w:rsidR="004F553A" w:rsidRDefault="00000000">
      <w:r>
        <w:rPr>
          <w:b/>
        </w:rPr>
        <w:t xml:space="preserve">7.6 No circumvention. </w:t>
      </w:r>
      <w:r>
        <w:t>The Owner shall not deliberately reclassify or route an accepted referral for the primary purpose of avoiding the Partner’s revenue share. The Partner shall not split, duplicate, fabricate, purchase, or manipulate referrals or cause a Tenant to transact through another identity to obtain additional compensation.</w:t>
      </w:r>
    </w:p>
    <w:p w:rsidR="004F553A" w:rsidRDefault="00000000">
      <w:pPr>
        <w:pStyle w:val="Heading1"/>
      </w:pPr>
      <w:r>
        <w:rPr>
          <w:rFonts w:ascii="Calibri" w:hAnsi="Calibri"/>
        </w:rPr>
        <w:t>8. Revenue Share and Payment</w:t>
      </w:r>
    </w:p>
    <w:p w:rsidR="004F553A" w:rsidRDefault="00000000">
      <w:r>
        <w:rPr>
          <w:b/>
        </w:rPr>
        <w:t xml:space="preserve">8.1 Revenue share. </w:t>
      </w:r>
      <w:r>
        <w:t>For each Referred Tenant, the Partner is entitled to 50% of Net Subscription Revenue for each period in which that Referred Tenant remains an Active Paying Tenant, subject to this Agreement.</w:t>
      </w:r>
    </w:p>
    <w:p w:rsidR="004F553A" w:rsidRDefault="00000000">
      <w:r>
        <w:rPr>
          <w:b/>
        </w:rPr>
        <w:t xml:space="preserve">8.2 Included revenue only. </w:t>
      </w:r>
      <w:r>
        <w:t xml:space="preserve">The revenue share applies only to recurring fees paid for access to a Platform subscription plan. It does not apply to setup or onboarding fees, custom development, professional services, consulting, training, hardware, domains, messaging or email pass-through costs, </w:t>
      </w:r>
      <w:r>
        <w:lastRenderedPageBreak/>
        <w:t>advertising, third-party licences, payment-transaction proceeds, booking deposits, Tenant sales or order value, taxes, grants, damages, financing, tips, or any other amount unless the Owner expressly agrees in writing.</w:t>
      </w:r>
    </w:p>
    <w:p w:rsidR="004F553A" w:rsidRDefault="00000000">
      <w:r>
        <w:rPr>
          <w:b/>
        </w:rPr>
        <w:t xml:space="preserve">8.3 Payment schedule. </w:t>
      </w:r>
      <w:r>
        <w:t>The Owner shall calculate the amount monthly and pay it within fifteen Business Days after month-end, together with a statement showing each Referred Tenant by agreed identifier, Gross Subscription Revenue received, permitted deductions, Net Subscription Revenue, and the Partner’s share.</w:t>
      </w:r>
    </w:p>
    <w:p w:rsidR="004F553A" w:rsidRDefault="00000000">
      <w:r>
        <w:rPr>
          <w:b/>
        </w:rPr>
        <w:t xml:space="preserve">8.4 Cleared funds and adjustments. </w:t>
      </w:r>
      <w:r>
        <w:t>Revenue is counted only when actually received and cleared. Refunds, credits, chargebacks, reversals, fraud losses, or corrections identified after a payment may be deducted from a later statement. The Owner is not required to advance revenue share on unpaid, disputed, waived, or uncollected fees.</w:t>
      </w:r>
    </w:p>
    <w:p w:rsidR="004F553A" w:rsidRDefault="00000000">
      <w:r>
        <w:rPr>
          <w:b/>
        </w:rPr>
        <w:t xml:space="preserve">8.5 Currency and transfer costs. </w:t>
      </w:r>
      <w:r>
        <w:t>Statements and payments will be made in Jamaican dollars unless Schedule 1 states otherwise. Where conversion is required, the Owner may use the actual processor or bank settlement rate. Each Party bears charges imposed by its own bank; intermediary or recipient charges may be deducted from the amount transmitted.</w:t>
      </w:r>
    </w:p>
    <w:p w:rsidR="004F553A" w:rsidRDefault="00000000">
      <w:r>
        <w:rPr>
          <w:b/>
        </w:rPr>
        <w:t xml:space="preserve">8.6 Taxes and withholding. </w:t>
      </w:r>
      <w:r>
        <w:t>Each Party is responsible for its own income, business, payroll, and other taxes. The Owner may deduct or withhold any tax required by law and shall provide reasonable evidence of the deduction or remittance. The Partner shall provide any taxpayer or payment information reasonably required for lawful reporting and payment.</w:t>
      </w:r>
    </w:p>
    <w:p w:rsidR="004F553A" w:rsidRDefault="00000000">
      <w:r>
        <w:rPr>
          <w:b/>
        </w:rPr>
        <w:t xml:space="preserve">8.7 Statement disputes. </w:t>
      </w:r>
      <w:r>
        <w:t>The Partner must notify the Owner in writing of a specific statement dispute within sixty days after receiving the statement. The Parties shall investigate promptly and correct confirmed errors. Failure to give notice within that period waives the dispute except in the case of fraud or a manifest error that could not reasonably have been identified earlier.</w:t>
      </w:r>
    </w:p>
    <w:p w:rsidR="004F553A" w:rsidRDefault="00000000">
      <w:r>
        <w:rPr>
          <w:b/>
        </w:rPr>
        <w:t xml:space="preserve">8.8 Limited audit right. </w:t>
      </w:r>
      <w:r>
        <w:t>Once in any twelve-month period, the Partner may, on at least fourteen days’ written notice, have an independent accountant inspect records reasonably necessary to verify payments for Referred Tenants. The inspection must occur during normal business hours, protect all third-party information, and not access source code, credentials, unrelated Tenant records, or security-sensitive material. The Partner bears the cost unless the inspection confirms an underpayment exceeding 5% for the audited period, in which case the Owner shall correct the underpayment and reimburse reasonable audit fees.</w:t>
      </w:r>
    </w:p>
    <w:p w:rsidR="004F553A" w:rsidRDefault="00000000">
      <w:pPr>
        <w:pStyle w:val="Heading1"/>
      </w:pPr>
      <w:r>
        <w:rPr>
          <w:rFonts w:ascii="Calibri" w:hAnsi="Calibri"/>
        </w:rPr>
        <w:t>9. Advertising Spend and Expenses</w:t>
      </w:r>
    </w:p>
    <w:p w:rsidR="004F553A" w:rsidRDefault="00000000">
      <w:r>
        <w:rPr>
          <w:b/>
        </w:rPr>
        <w:t xml:space="preserve">9.1 </w:t>
      </w:r>
      <w:r>
        <w:t>The Partner has no authority to incur debt, subscribe to a paid service, engage an influencer or contractor, offer a prize, or commit advertising spend on behalf of the Owner without prior written approval specifying the amount and purpose.</w:t>
      </w:r>
    </w:p>
    <w:p w:rsidR="004F553A" w:rsidRDefault="00000000">
      <w:r>
        <w:rPr>
          <w:b/>
        </w:rPr>
        <w:t xml:space="preserve">9.2 </w:t>
      </w:r>
      <w:r>
        <w:t>Approved advertising should, where practicable, be purchased through accounts owned and funded by the Owner. The Partner shall provide receipts and campaign records. Unauthorized expenses are the Partner’s responsibility and are not reimbursable.</w:t>
      </w:r>
    </w:p>
    <w:p w:rsidR="004F553A" w:rsidRDefault="00000000">
      <w:r>
        <w:rPr>
          <w:b/>
        </w:rPr>
        <w:t xml:space="preserve">9.3 </w:t>
      </w:r>
      <w:r>
        <w:t>Except for compensation under section 8 and expenses expressly approved in writing, each Party bears its own costs of performing this Agreement.</w:t>
      </w:r>
    </w:p>
    <w:p w:rsidR="004F553A" w:rsidRDefault="00000000">
      <w:pPr>
        <w:pStyle w:val="Heading1"/>
      </w:pPr>
      <w:r>
        <w:rPr>
          <w:rFonts w:ascii="Calibri" w:hAnsi="Calibri"/>
        </w:rPr>
        <w:lastRenderedPageBreak/>
        <w:t>10. Social Platforms, Access, and Security</w:t>
      </w:r>
    </w:p>
    <w:p w:rsidR="004F553A" w:rsidRDefault="00000000">
      <w:r>
        <w:rPr>
          <w:b/>
        </w:rPr>
        <w:t xml:space="preserve">10.1 Ownership. </w:t>
      </w:r>
      <w:r>
        <w:t>All Social Platforms created for or used as official ICSS Booking System accounts—including handles, pages, channels, ad accounts, business-manager accounts, audiences, pixels, analytics, followers, messages, configurations, and recovery information—are business assets controlled by the Owner. The Partner acquires no ownership interest in them.</w:t>
      </w:r>
    </w:p>
    <w:p w:rsidR="004F553A" w:rsidRDefault="00000000">
      <w:r>
        <w:rPr>
          <w:b/>
        </w:rPr>
        <w:t xml:space="preserve">10.2 Account setup. </w:t>
      </w:r>
      <w:r>
        <w:t>Official accounts must use Owner-approved names, business email addresses, recovery methods, and administrator roles. Where supported, the Owner must remain the primary owner or have the highest available administrator access at all times.</w:t>
      </w:r>
    </w:p>
    <w:p w:rsidR="004F553A" w:rsidRDefault="00000000">
      <w:r>
        <w:rPr>
          <w:b/>
        </w:rPr>
        <w:t xml:space="preserve">10.3 Credentials. </w:t>
      </w:r>
      <w:r>
        <w:t>The Partner shall not share credentials, disable multi-factor authentication, change recovery information, add an administrator, transfer an account, export an audience, sell access, or connect an unapproved application without prior written approval. Any suspected compromise must be reported immediately.</w:t>
      </w:r>
    </w:p>
    <w:p w:rsidR="004F553A" w:rsidRDefault="00000000">
      <w:r>
        <w:rPr>
          <w:b/>
        </w:rPr>
        <w:t xml:space="preserve">10.4 Revocation and handover. </w:t>
      </w:r>
      <w:r>
        <w:t>The Owner may suspend or revoke access where reasonably required for security, investigation, legal compliance, termination, or protection of the Platform. On request or termination, the Partner shall immediately deliver all current credentials, recovery information, content calendars, source files, lead records, reports, and other materials needed for uninterrupted control.</w:t>
      </w:r>
    </w:p>
    <w:p w:rsidR="004F553A" w:rsidRDefault="00000000">
      <w:pPr>
        <w:pStyle w:val="Heading1"/>
      </w:pPr>
      <w:r>
        <w:rPr>
          <w:rFonts w:ascii="Calibri" w:hAnsi="Calibri"/>
        </w:rPr>
        <w:t>11. Intellectual Property and Brand</w:t>
      </w:r>
    </w:p>
    <w:p w:rsidR="004F553A" w:rsidRDefault="00000000">
      <w:r>
        <w:rPr>
          <w:b/>
        </w:rPr>
        <w:t xml:space="preserve">11.1 Owner property. </w:t>
      </w:r>
      <w:r>
        <w:t>The Owner retains all right, title, and interest in the Platform and its source code, object code, architecture, databases, APIs, interfaces, documentation, trade names, logos, domains, designs, product concepts, improvements, analytics, and related intellectual property. No right is granted except the limited permission necessary to perform this Agreement during the Term.</w:t>
      </w:r>
    </w:p>
    <w:p w:rsidR="004F553A" w:rsidRDefault="00000000">
      <w:r>
        <w:rPr>
          <w:b/>
        </w:rPr>
        <w:t xml:space="preserve">11.2 Work Product assignment. </w:t>
      </w:r>
      <w:r>
        <w:t>To the extent permitted by law, the Partner assigns to the Owner, upon creation, all right, title, and interest in Work Product created specifically under this Agreement. The Partner shall sign reasonable documents necessary to confirm that ownership. To the extent an assignment is ineffective, the Partner grants the Owner an exclusive, perpetual, irrevocable, worldwide, transferable, sublicensable, royalty-free licence to use, reproduce, modify, adapt, publish, distribute, display, perform, and commercialize that Work Product.</w:t>
      </w:r>
    </w:p>
    <w:p w:rsidR="004F553A" w:rsidRDefault="00000000">
      <w:r>
        <w:rPr>
          <w:b/>
        </w:rPr>
        <w:t xml:space="preserve">11.3 Pre-existing materials. </w:t>
      </w:r>
      <w:r>
        <w:t>The Partner retains ownership of materials demonstrably created before this Agreement or outside its scope. If such material is embedded in Work Product, the Partner grants the Owner a perpetual, worldwide, transferable, sublicensable, royalty-free licence to use it as part of or in connection with the Work Product and Platform marketing.</w:t>
      </w:r>
    </w:p>
    <w:p w:rsidR="004F553A" w:rsidRDefault="00000000">
      <w:r>
        <w:rPr>
          <w:b/>
        </w:rPr>
        <w:t xml:space="preserve">11.4 Third-party materials. </w:t>
      </w:r>
      <w:r>
        <w:t>The Partner shall use only properly licensed music, images, fonts, footage, testimonials, software, and other third-party material and shall keep evidence of relevant permissions. The Partner may not impose a licence or restriction that limits the Owner’s normal use of Work Product without written approval.</w:t>
      </w:r>
    </w:p>
    <w:p w:rsidR="004F553A" w:rsidRDefault="00000000">
      <w:r>
        <w:rPr>
          <w:b/>
        </w:rPr>
        <w:t xml:space="preserve">11.5 Brand use. </w:t>
      </w:r>
      <w:r>
        <w:t>The Partner may use the Platform’s approved marks only to perform this Agreement, in accordance with current brand instructions. That permission is revocable, non-transferable, and ends immediately on termination, except as needed to complete an approved handover.</w:t>
      </w:r>
    </w:p>
    <w:p w:rsidR="004F553A" w:rsidRDefault="00000000">
      <w:pPr>
        <w:pStyle w:val="Heading1"/>
      </w:pPr>
      <w:r>
        <w:rPr>
          <w:rFonts w:ascii="Calibri" w:hAnsi="Calibri"/>
        </w:rPr>
        <w:lastRenderedPageBreak/>
        <w:t>12. Confidentiality and Data Protection</w:t>
      </w:r>
    </w:p>
    <w:p w:rsidR="004F553A" w:rsidRDefault="00000000">
      <w:r>
        <w:rPr>
          <w:b/>
        </w:rPr>
        <w:t xml:space="preserve">12.1 Confidentiality duty. </w:t>
      </w:r>
      <w:r>
        <w:t>Each receiving Party shall use the other Party’s Confidential Information only to perform or enforce this Agreement, protect it using at least reasonable care, and disclose it only to persons who need it and are bound by confidentiality duties at least as protective as these terms.</w:t>
      </w:r>
    </w:p>
    <w:p w:rsidR="004F553A" w:rsidRDefault="00000000">
      <w:r>
        <w:rPr>
          <w:b/>
        </w:rPr>
        <w:t xml:space="preserve">12.2 Exclusions. </w:t>
      </w:r>
      <w:r>
        <w:t>Confidential Information does not include information the receiving Party can document: was lawfully known without restriction before disclosure; becomes public without breach; is received lawfully from a third party without a confidentiality duty; or is independently developed without use of the disclosed information.</w:t>
      </w:r>
    </w:p>
    <w:p w:rsidR="004F553A" w:rsidRDefault="00000000">
      <w:r>
        <w:rPr>
          <w:b/>
        </w:rPr>
        <w:t xml:space="preserve">12.3 Required disclosure. </w:t>
      </w:r>
      <w:r>
        <w:t>A Party required by law or court order to disclose Confidential Information shall, where lawful, give prompt notice and disclose only what is legally required, while reasonably cooperating in efforts to obtain protective treatment.</w:t>
      </w:r>
    </w:p>
    <w:p w:rsidR="004F553A" w:rsidRDefault="00000000">
      <w:r>
        <w:rPr>
          <w:b/>
        </w:rPr>
        <w:t xml:space="preserve">12.4 Limited Personal Data access. </w:t>
      </w:r>
      <w:r>
        <w:t>The Partner may access Personal Data only to the minimum extent expressly authorized for marketing, lead handling, or approved communications; only on the Owner’s documented instructions; and only through approved systems. The Partner shall not copy, download, enrich, sell, disclose, retain, or use Tenant or end-customer data for an independent purpose.</w:t>
      </w:r>
    </w:p>
    <w:p w:rsidR="004F553A" w:rsidRDefault="00000000">
      <w:r>
        <w:rPr>
          <w:b/>
        </w:rPr>
        <w:t xml:space="preserve">12.5 Safeguards. </w:t>
      </w:r>
      <w:r>
        <w:t>Each Party shall comply with applicable data-protection law, including the Data Protection Act, 2020 of Jamaica where applicable, and maintain appropriate technical and organizational safeguards. The Partner shall restrict access, use strong authentication, keep devices reasonably secure, and promptly comply with lawful deletion, correction, access, restriction, or investigation instructions relayed by the Owner.</w:t>
      </w:r>
    </w:p>
    <w:p w:rsidR="004F553A" w:rsidRDefault="00000000">
      <w:r>
        <w:rPr>
          <w:b/>
        </w:rPr>
        <w:t xml:space="preserve">12.6 Security incident. </w:t>
      </w:r>
      <w:r>
        <w:t>The Partner shall notify the Owner without undue delay and in any event within twenty-four hours after discovering any actual or suspected loss, unauthorized access, disclosure, misuse, compromise, or unlawful processing of Personal Data, credentials, Confidential Information, or Social Platforms. The Partner shall preserve evidence, take reasonable containment steps, and cooperate fully. The Partner shall not notify affected persons, regulators, or the public on the Owner’s behalf unless legally required or authorized in writing.</w:t>
      </w:r>
    </w:p>
    <w:p w:rsidR="004F553A" w:rsidRDefault="00000000">
      <w:r>
        <w:rPr>
          <w:b/>
        </w:rPr>
        <w:t xml:space="preserve">12.7 Return and deletion. </w:t>
      </w:r>
      <w:r>
        <w:t>On request or termination, each receiving Party shall promptly return or securely delete the other Party’s Confidential Information, subject to lawful retention and routine backup processes. Any retained information remains protected and may not be used for another purpose.</w:t>
      </w:r>
    </w:p>
    <w:p w:rsidR="004F553A" w:rsidRDefault="00000000">
      <w:pPr>
        <w:pStyle w:val="Heading1"/>
      </w:pPr>
      <w:r>
        <w:rPr>
          <w:rFonts w:ascii="Calibri" w:hAnsi="Calibri"/>
        </w:rPr>
        <w:t>13. Conflicts, Competition, and Non-Solicitation</w:t>
      </w:r>
    </w:p>
    <w:p w:rsidR="004F553A" w:rsidRDefault="00000000">
      <w:r>
        <w:rPr>
          <w:b/>
        </w:rPr>
        <w:t xml:space="preserve">13.1 Conflict disclosure. </w:t>
      </w:r>
      <w:r>
        <w:t>The Partner shall promptly disclose any actual or potential conflict of interest that could materially affect performance or loyalty to the Platform.</w:t>
      </w:r>
    </w:p>
    <w:p w:rsidR="004F553A" w:rsidRDefault="00000000">
      <w:r>
        <w:rPr>
          <w:b/>
        </w:rPr>
        <w:t xml:space="preserve">13.2 Direct competitors during the Term. </w:t>
      </w:r>
      <w:r>
        <w:t>During the Term, the Partner shall not, without the Owner’s prior written consent, market, refer customers to, develop for, own a material interest in, or provide substantially similar services to a Direct Competitor. Passive ownership of less than 5% of a publicly traded company is excluded.</w:t>
      </w:r>
    </w:p>
    <w:p w:rsidR="004F553A" w:rsidRDefault="00000000">
      <w:r>
        <w:rPr>
          <w:b/>
        </w:rPr>
        <w:lastRenderedPageBreak/>
        <w:t xml:space="preserve">13.3 Tenant non-solicitation. </w:t>
      </w:r>
      <w:r>
        <w:t>During the Term and for twelve months after termination, the Partner shall not use information or relationships obtained through this Agreement to solicit or induce an existing Tenant to cancel, reduce, or move its Platform subscription to a Direct Competitor.</w:t>
      </w:r>
    </w:p>
    <w:p w:rsidR="004F553A" w:rsidRDefault="00000000">
      <w:r>
        <w:rPr>
          <w:b/>
        </w:rPr>
        <w:t xml:space="preserve">13.4 Personnel and vendors. </w:t>
      </w:r>
      <w:r>
        <w:t>For twelve months after termination, neither Party shall knowingly solicit for employment a person who was then a key employee or dedicated contractor of the other Party and with whom the soliciting Party worked materially under this Agreement. General public recruitment not targeted at that person is excluded.</w:t>
      </w:r>
    </w:p>
    <w:p w:rsidR="004F553A" w:rsidRDefault="00000000">
      <w:r>
        <w:rPr>
          <w:b/>
        </w:rPr>
        <w:t xml:space="preserve">13.5 Reasonable scope. </w:t>
      </w:r>
      <w:r>
        <w:t>The restrictions in this section are intended to protect legitimate interests in confidential information, Tenant relationships, and Platform goodwill. They do not prevent lawful general advertising, services unrelated to a Direct Competitor, or competition that does not misuse those interests.</w:t>
      </w:r>
    </w:p>
    <w:p w:rsidR="004F553A" w:rsidRDefault="00000000">
      <w:pPr>
        <w:pStyle w:val="Heading1"/>
      </w:pPr>
      <w:r>
        <w:rPr>
          <w:rFonts w:ascii="Calibri" w:hAnsi="Calibri"/>
        </w:rPr>
        <w:t>14. Representations, Warranties, and Compliance</w:t>
      </w:r>
    </w:p>
    <w:p w:rsidR="004F553A" w:rsidRDefault="00000000">
      <w:r>
        <w:rPr>
          <w:b/>
        </w:rPr>
        <w:t xml:space="preserve">14.1 Mutual authority. </w:t>
      </w:r>
      <w:r>
        <w:t>Each Party represents that it has legal capacity and authority to enter into and perform this Agreement and that doing so does not knowingly breach another binding obligation.</w:t>
      </w:r>
    </w:p>
    <w:p w:rsidR="004F553A" w:rsidRDefault="00000000">
      <w:r>
        <w:rPr>
          <w:b/>
        </w:rPr>
        <w:t xml:space="preserve">14.2 Partner warranties. </w:t>
      </w:r>
      <w:r>
        <w:t>The Partner represents that its services and Work Product will be original or properly licensed, professionally performed, and compliant with applicable law; that it will not knowingly introduce malware or misuse access; and that all lead and performance information it submits will be materially accurate.</w:t>
      </w:r>
    </w:p>
    <w:p w:rsidR="004F553A" w:rsidRDefault="00000000">
      <w:r>
        <w:rPr>
          <w:b/>
        </w:rPr>
        <w:t xml:space="preserve">14.3 Owner warranties. </w:t>
      </w:r>
      <w:r>
        <w:t>The Owner represents that it has the right to operate and market the Platform and to authorize the limited brand access granted under this Agreement.</w:t>
      </w:r>
    </w:p>
    <w:p w:rsidR="004F553A" w:rsidRDefault="00000000">
      <w:r>
        <w:rPr>
          <w:b/>
        </w:rPr>
        <w:t xml:space="preserve">14.4 No guaranteed results. </w:t>
      </w:r>
      <w:r>
        <w:t>Except for the express obligations in this Agreement, neither Party guarantees a particular number of leads, subscriptions, revenue, followers, conversions, features, or uninterrupted service. Technology and third-party services may experience outages, changes, or failures outside a Party’s reasonable control.</w:t>
      </w:r>
    </w:p>
    <w:p w:rsidR="004F553A" w:rsidRDefault="00000000">
      <w:pPr>
        <w:pStyle w:val="Heading1"/>
      </w:pPr>
      <w:r>
        <w:rPr>
          <w:rFonts w:ascii="Calibri" w:hAnsi="Calibri"/>
        </w:rPr>
        <w:t>15. Indemnity and Liability</w:t>
      </w:r>
    </w:p>
    <w:p w:rsidR="004F553A" w:rsidRDefault="00000000">
      <w:r>
        <w:rPr>
          <w:b/>
        </w:rPr>
        <w:t xml:space="preserve">15.1 Partner indemnity. </w:t>
      </w:r>
      <w:r>
        <w:t>The Partner shall indemnify and hold harmless the Owner and its personnel from third-party claims, losses, penalties, and reasonable legal costs arising from the Partner’s unlawful or unauthorized marketing, infringement by Partner-supplied materials, breach of sections 10–13, fraud, wilful misconduct, or unauthorized promise or commitment.</w:t>
      </w:r>
    </w:p>
    <w:p w:rsidR="004F553A" w:rsidRDefault="00000000">
      <w:r>
        <w:rPr>
          <w:b/>
        </w:rPr>
        <w:t xml:space="preserve">15.2 Owner indemnity. </w:t>
      </w:r>
      <w:r>
        <w:t>The Owner shall indemnify and hold harmless the Partner from third-party claims that the unmodified Platform or Owner-supplied brand assets infringe that third party’s intellectual-property rights, except to the extent the claim results from the Partner’s modification, combination, unauthorized use, or continued use after notice of a replacement.</w:t>
      </w:r>
    </w:p>
    <w:p w:rsidR="004F553A" w:rsidRDefault="00000000">
      <w:r>
        <w:rPr>
          <w:b/>
        </w:rPr>
        <w:t xml:space="preserve">15.3 Claim process. </w:t>
      </w:r>
      <w:r>
        <w:t>The indemnified Party shall give prompt notice, allow the indemnifying Party reasonable control of the defence and settlement, and provide reasonable cooperation. No settlement may admit fault by, impose non-monetary obligations on, or fail to release the indemnified Party without its written consent, not to be unreasonably withheld.</w:t>
      </w:r>
    </w:p>
    <w:p w:rsidR="004F553A" w:rsidRDefault="00000000">
      <w:r>
        <w:rPr>
          <w:b/>
        </w:rPr>
        <w:lastRenderedPageBreak/>
        <w:t xml:space="preserve">15.4 Exclusion of indirect loss. </w:t>
      </w:r>
      <w:r>
        <w:t>To the maximum extent permitted by law, neither Party is liable to the other for indirect, incidental, special, exemplary, punitive, or consequential loss, or for lost profits or business opportunity, except where such amounts are payable to a third party under a valid indemnity claim.</w:t>
      </w:r>
    </w:p>
    <w:p w:rsidR="004F553A" w:rsidRDefault="00000000">
      <w:r>
        <w:rPr>
          <w:b/>
        </w:rPr>
        <w:t xml:space="preserve">15.5 Liability cap. </w:t>
      </w:r>
      <w:r>
        <w:t>Except for payment obligations, fraud, wilful misconduct, infringement or misappropriation of intellectual property, breach of confidentiality or data-protection duties, unauthorized control of Social Platforms, or an indemnity obligation, each Party’s aggregate liability arising from this Agreement shall not exceed the total revenue share paid or payable to the Partner during the six months immediately preceding the event giving rise to the claim.</w:t>
      </w:r>
    </w:p>
    <w:p w:rsidR="004F553A" w:rsidRDefault="00000000">
      <w:pPr>
        <w:pStyle w:val="Heading1"/>
      </w:pPr>
      <w:r>
        <w:rPr>
          <w:rFonts w:ascii="Calibri" w:hAnsi="Calibri"/>
        </w:rPr>
        <w:t>16. Termination</w:t>
      </w:r>
    </w:p>
    <w:p w:rsidR="004F553A" w:rsidRDefault="00000000">
      <w:r>
        <w:rPr>
          <w:b/>
        </w:rPr>
        <w:t xml:space="preserve">16.1 Without cause. </w:t>
      </w:r>
      <w:r>
        <w:t>Either Party may terminate this Agreement for any reason by giving at least thirty days’ written notice.</w:t>
      </w:r>
    </w:p>
    <w:p w:rsidR="004F553A" w:rsidRDefault="00000000">
      <w:r>
        <w:rPr>
          <w:b/>
        </w:rPr>
        <w:t xml:space="preserve">16.2 Material breach. </w:t>
      </w:r>
      <w:r>
        <w:t>A Party may terminate for material breach if the breaching Party fails to cure the breach within fourteen days after receiving written notice describing it in reasonable detail. If the breach cannot reasonably be cured within fourteen days, the breaching Party must begin cure within that period and diligently complete it within a reasonable time acceptable to the non-breaching Party.</w:t>
      </w:r>
    </w:p>
    <w:p w:rsidR="004F553A" w:rsidRDefault="00000000">
      <w:r>
        <w:rPr>
          <w:b/>
        </w:rPr>
        <w:t xml:space="preserve">16.3 Immediate termination. </w:t>
      </w:r>
      <w:r>
        <w:t>The Owner may terminate immediately for fraud, theft, unlawful conduct, deliberate diversion of Tenants, unauthorized transfer or sale of a Social Platform, intentional credential compromise, material misuse of Personal Data, material infringement or theft of Platform intellectual property, or conduct reasonably likely to cause urgent and serious harm to the Platform, a Tenant, the Owner, or the public. Either Party may terminate immediately if continued performance would be unlawful.</w:t>
      </w:r>
    </w:p>
    <w:p w:rsidR="004F553A" w:rsidRDefault="00000000">
      <w:r>
        <w:rPr>
          <w:b/>
        </w:rPr>
        <w:t xml:space="preserve">16.4 Abandonment. </w:t>
      </w:r>
      <w:r>
        <w:t>“Abandonment” occurs when the Partner performs no meaningful marketing, referral, reporting, or account-management activity for thirty consecutive calendar days and then fails to respond or resume performance within five Business Days after written notice from the Owner. Abandonment is a material breach permitting termination for cause.</w:t>
      </w:r>
    </w:p>
    <w:p w:rsidR="004F553A" w:rsidRDefault="00000000">
      <w:r>
        <w:rPr>
          <w:b/>
        </w:rPr>
        <w:t xml:space="preserve">16.5 Suspension pending investigation. </w:t>
      </w:r>
      <w:r>
        <w:t>The Owner may temporarily suspend access to Social Platforms, Platform systems, Confidential Information, or Personal Data while reasonably investigating a security concern, suspected misconduct, or material breach. A suspension does not by itself terminate this Agreement or eliminate valid compensation.</w:t>
      </w:r>
    </w:p>
    <w:p w:rsidR="004F553A" w:rsidRDefault="00000000">
      <w:pPr>
        <w:pStyle w:val="Heading2"/>
      </w:pPr>
      <w:r>
        <w:rPr>
          <w:rFonts w:ascii="Calibri" w:hAnsi="Calibri"/>
        </w:rPr>
        <w:t>16.6 Effect of termination and residual payments</w:t>
      </w:r>
    </w:p>
    <w:p w:rsidR="004F553A" w:rsidRDefault="00000000">
      <w:r>
        <w:rPr>
          <w:b/>
        </w:rPr>
        <w:t xml:space="preserve">(a) </w:t>
      </w:r>
      <w:r>
        <w:t>On termination, the Partner shall stop representing itself as associated with the Platform, stop using Owner marks, complete the handover required by section 10.4, return or delete protected information, and submit a final activity and referral report within five Business Days.</w:t>
      </w:r>
    </w:p>
    <w:p w:rsidR="004F553A" w:rsidRDefault="00000000">
      <w:r>
        <w:rPr>
          <w:b/>
        </w:rPr>
        <w:t xml:space="preserve">(b) </w:t>
      </w:r>
      <w:r>
        <w:t>The Owner shall pay all undisputed revenue-share amounts properly earned through the termination date, subject to permitted adjustments, deductions, withholding, set-off for finally determined amounts owed, and the statement-dispute process.</w:t>
      </w:r>
    </w:p>
    <w:p w:rsidR="004F553A" w:rsidRDefault="00000000">
      <w:r>
        <w:rPr>
          <w:b/>
        </w:rPr>
        <w:lastRenderedPageBreak/>
        <w:t xml:space="preserve">(c) </w:t>
      </w:r>
      <w:r>
        <w:t>If this Agreement ends without cause, or is terminated by the Partner because of the Owner’s uncured material breach, the Partner’s 50% revenue share continues for each existing Referred Tenant for as long as that Tenant remains an Active Paying Tenant. No revenue share is earned from a new Tenant that subscribes after termination unless the lead was accepted before termination and converts within the original 180-day window.</w:t>
      </w:r>
    </w:p>
    <w:p w:rsidR="004F553A" w:rsidRDefault="00000000">
      <w:r>
        <w:rPr>
          <w:b/>
        </w:rPr>
        <w:t xml:space="preserve">(d) </w:t>
      </w:r>
      <w:r>
        <w:t>If the Partner is terminated for cause under sections 16.2, 16.3, or 16.4, or the Partner terminates while in an uncured material breach, all future residual payments cease on the effective termination date. Valid amounts earned before that date remain payable, but this does not limit any damages, indemnity, recovery, or set-off otherwise available to the Owner.</w:t>
      </w:r>
    </w:p>
    <w:p w:rsidR="004F553A" w:rsidRDefault="00000000">
      <w:r>
        <w:rPr>
          <w:b/>
        </w:rPr>
        <w:t xml:space="preserve">(e) </w:t>
      </w:r>
      <w:r>
        <w:t>If an attribution or payment was obtained through fraud, fabrication, or deliberate manipulation, it is void and the Owner may recover the resulting overpayment.</w:t>
      </w:r>
    </w:p>
    <w:p w:rsidR="004F553A" w:rsidRDefault="00000000">
      <w:pPr>
        <w:pStyle w:val="Heading1"/>
      </w:pPr>
      <w:r>
        <w:rPr>
          <w:rFonts w:ascii="Calibri" w:hAnsi="Calibri"/>
        </w:rPr>
        <w:t>17. Dispute Resolution and Governing Law</w:t>
      </w:r>
    </w:p>
    <w:p w:rsidR="004F553A" w:rsidRDefault="00000000">
      <w:r>
        <w:rPr>
          <w:b/>
        </w:rPr>
        <w:t xml:space="preserve">17.1 Good-faith negotiation. </w:t>
      </w:r>
      <w:r>
        <w:t>A Party claiming a dispute shall give written notice describing the issue and requested resolution. A decision-maker for each Party shall meet or confer in good faith within ten Business Days.</w:t>
      </w:r>
    </w:p>
    <w:p w:rsidR="004F553A" w:rsidRDefault="00000000">
      <w:r>
        <w:rPr>
          <w:b/>
        </w:rPr>
        <w:t xml:space="preserve">17.2 Mediation. </w:t>
      </w:r>
      <w:r>
        <w:t>If not resolved within twenty Business Days after the dispute notice, the Parties shall attempt confidential mediation in Kingston, Jamaica, before a mutually agreed mediator. Unless agreed otherwise, mediation fees are shared equally and each Party bears its own professional costs.</w:t>
      </w:r>
    </w:p>
    <w:p w:rsidR="004F553A" w:rsidRDefault="00000000">
      <w:r>
        <w:rPr>
          <w:b/>
        </w:rPr>
        <w:t xml:space="preserve">17.3 Court proceedings. </w:t>
      </w:r>
      <w:r>
        <w:t>If mediation does not resolve the dispute within thirty days after the mediator is appointed, either Party may bring proceedings in a court of competent jurisdiction in Jamaica. Nothing prevents a Party from seeking urgent injunctive or protective relief for confidentiality, data, credentials, intellectual property, Social Platforms, or Tenant diversion.</w:t>
      </w:r>
    </w:p>
    <w:p w:rsidR="004F553A" w:rsidRDefault="00000000">
      <w:r>
        <w:rPr>
          <w:b/>
        </w:rPr>
        <w:t xml:space="preserve">17.4 Governing law. </w:t>
      </w:r>
      <w:r>
        <w:t>This Agreement and any non-contractual obligations arising from it are governed by the laws of Jamaica.</w:t>
      </w:r>
    </w:p>
    <w:p w:rsidR="004F553A" w:rsidRDefault="00000000">
      <w:pPr>
        <w:pStyle w:val="Heading1"/>
      </w:pPr>
      <w:r>
        <w:rPr>
          <w:rFonts w:ascii="Calibri" w:hAnsi="Calibri"/>
        </w:rPr>
        <w:t>18. Notices</w:t>
      </w:r>
    </w:p>
    <w:p w:rsidR="004F553A" w:rsidRDefault="00000000">
      <w:r>
        <w:rPr>
          <w:b/>
        </w:rPr>
        <w:t xml:space="preserve">18.1 Form. </w:t>
      </w:r>
      <w:r>
        <w:t>A notice under this Agreement must be in writing and delivered by email to the notice address in Schedule 1, with a copy by hand, recognized courier, or registered mail where the notice concerns termination, material breach, indemnity, or legal proceedings.</w:t>
      </w:r>
    </w:p>
    <w:p w:rsidR="004F553A" w:rsidRDefault="00000000">
      <w:r>
        <w:rPr>
          <w:b/>
        </w:rPr>
        <w:t xml:space="preserve">18.2 Receipt. </w:t>
      </w:r>
      <w:r>
        <w:t>An email is deemed received when sent without an automated failure notice, provided that an email sent after 5:00 p.m. in Jamaica or on a non-Business Day is deemed received on the next Business Day. Hand delivery is received when delivered; courier or registered mail is received when delivery is recorded.</w:t>
      </w:r>
    </w:p>
    <w:p w:rsidR="004F553A" w:rsidRDefault="00000000">
      <w:r>
        <w:rPr>
          <w:b/>
        </w:rPr>
        <w:t xml:space="preserve">18.3 Updates. </w:t>
      </w:r>
      <w:r>
        <w:t>A Party may change its notice details by giving notice under this section. Operational messages, campaign approvals, and routine reporting may be sent through the approved business channels listed in Schedule 1.</w:t>
      </w:r>
    </w:p>
    <w:p w:rsidR="004F553A" w:rsidRDefault="00000000">
      <w:pPr>
        <w:pStyle w:val="Heading1"/>
      </w:pPr>
      <w:r>
        <w:rPr>
          <w:rFonts w:ascii="Calibri" w:hAnsi="Calibri"/>
        </w:rPr>
        <w:lastRenderedPageBreak/>
        <w:t>19. General</w:t>
      </w:r>
    </w:p>
    <w:p w:rsidR="004F553A" w:rsidRDefault="00000000">
      <w:r>
        <w:rPr>
          <w:b/>
        </w:rPr>
        <w:t xml:space="preserve">19.1 Entire agreement. </w:t>
      </w:r>
      <w:r>
        <w:t>This Agreement, including its schedules and signed amendments, is the entire agreement between the Parties concerning its subject matter and replaces prior discussions, proposals, messages, and understandings concerning that subject matter.</w:t>
      </w:r>
    </w:p>
    <w:p w:rsidR="004F553A" w:rsidRDefault="00000000">
      <w:r>
        <w:rPr>
          <w:b/>
        </w:rPr>
        <w:t xml:space="preserve">19.2 Amendments. </w:t>
      </w:r>
      <w:r>
        <w:t>An amendment or waiver is effective only if in writing and signed by both Parties, except that operational approvals expressly contemplated by this Agreement may be given through the approved written channels.</w:t>
      </w:r>
    </w:p>
    <w:p w:rsidR="004F553A" w:rsidRDefault="00000000">
      <w:r>
        <w:rPr>
          <w:b/>
        </w:rPr>
        <w:t xml:space="preserve">19.3 Assignment. </w:t>
      </w:r>
      <w:r>
        <w:t>The Partner may not assign, subcontract, delegate, or transfer this Agreement or any residual right without the Owner’s prior written consent. The Owner may assign this Agreement to an affiliate or to a purchaser or successor of the Platform or substantially all related business assets, provided the assignee assumes the Owner’s continuing payment obligations.</w:t>
      </w:r>
    </w:p>
    <w:p w:rsidR="004F553A" w:rsidRDefault="00000000">
      <w:r>
        <w:rPr>
          <w:b/>
        </w:rPr>
        <w:t xml:space="preserve">19.4 No waiver. </w:t>
      </w:r>
      <w:r>
        <w:t>A delay or failure to enforce a right is not a waiver. A waiver applies only to the specific instance stated.</w:t>
      </w:r>
    </w:p>
    <w:p w:rsidR="004F553A" w:rsidRDefault="00000000">
      <w:r>
        <w:rPr>
          <w:b/>
        </w:rPr>
        <w:t xml:space="preserve">19.5 Severability. </w:t>
      </w:r>
      <w:r>
        <w:t>If a provision is held invalid or unenforceable, it shall be enforced to the maximum lawful extent or modified as little as necessary, and the remaining provisions continue in effect.</w:t>
      </w:r>
    </w:p>
    <w:p w:rsidR="004F553A" w:rsidRDefault="00000000">
      <w:r>
        <w:rPr>
          <w:b/>
        </w:rPr>
        <w:t xml:space="preserve">19.6 Force majeure. </w:t>
      </w:r>
      <w:r>
        <w:t>Neither Party is liable for delay or failure caused by an event beyond its reasonable control, including natural disaster, widespread utility or internet failure, war, civil disturbance, government action, or major third-party platform outage, provided the affected Party gives prompt notice and uses reasonable efforts to mitigate. Force majeure does not excuse payment of amounts already due.</w:t>
      </w:r>
    </w:p>
    <w:p w:rsidR="004F553A" w:rsidRDefault="00000000">
      <w:r>
        <w:rPr>
          <w:b/>
        </w:rPr>
        <w:t xml:space="preserve">19.7 Counterparts and electronic signatures. </w:t>
      </w:r>
      <w:r>
        <w:t>This Agreement may be signed in counterparts and by electronic signature or exchange of signed electronic copies. Each counterpart is treated as an original and together they form one instrument.</w:t>
      </w:r>
    </w:p>
    <w:p w:rsidR="004F553A" w:rsidRDefault="00000000">
      <w:r>
        <w:rPr>
          <w:b/>
        </w:rPr>
        <w:t xml:space="preserve">19.8 Further assurance. </w:t>
      </w:r>
      <w:r>
        <w:t>Each Party shall sign and do reasonable things necessary to give effect to this Agreement, including confirming account control, intellectual-property ownership, referral attribution, and lawful payment reporting.</w:t>
      </w:r>
    </w:p>
    <w:p w:rsidR="004F553A" w:rsidRDefault="00000000">
      <w:r>
        <w:rPr>
          <w:b/>
        </w:rPr>
        <w:t xml:space="preserve">19.9 Survival. </w:t>
      </w:r>
      <w:r>
        <w:t>Sections concerning accrued payment rights, residuals where applicable, ownership, confidentiality, data protection, non-solicitation, indemnity, liability, dispute resolution, records, and general interpretation survive termination to the extent needed to give them effect.</w:t>
      </w:r>
    </w:p>
    <w:p w:rsidR="004F553A" w:rsidRDefault="00000000">
      <w:r>
        <w:rPr>
          <w:b/>
        </w:rPr>
        <w:t xml:space="preserve">19.10 Interpretation. </w:t>
      </w:r>
      <w:r>
        <w:t>Headings are for convenience only. “Including” means “including without limitation.” The singular includes the plural and vice versa where context requires. References to writing include email and approved electronic records unless this Agreement expressly requires signature.</w:t>
      </w:r>
    </w:p>
    <w:p w:rsidR="004F553A" w:rsidRDefault="00000000">
      <w:r>
        <w:br w:type="page"/>
      </w:r>
    </w:p>
    <w:p w:rsidR="004F553A" w:rsidRDefault="00000000">
      <w:pPr>
        <w:keepNext/>
      </w:pPr>
      <w:r>
        <w:rPr>
          <w:b/>
          <w:color w:val="B58620"/>
          <w:sz w:val="20"/>
        </w:rPr>
        <w:lastRenderedPageBreak/>
        <w:t>SCHEDULE 1</w:t>
      </w:r>
    </w:p>
    <w:p w:rsidR="004F553A" w:rsidRDefault="00000000">
      <w:pPr>
        <w:keepNext/>
        <w:spacing w:after="280"/>
      </w:pPr>
      <w:r>
        <w:rPr>
          <w:b/>
          <w:color w:val="17365D"/>
          <w:sz w:val="44"/>
        </w:rPr>
        <w:t>Parties and Commercial Details</w:t>
      </w:r>
    </w:p>
    <w:tbl>
      <w:tblPr>
        <w:tblStyle w:val="TableGrid"/>
        <w:tblW w:w="9360" w:type="dxa"/>
        <w:tblInd w:w="120" w:type="dxa"/>
        <w:tblLayout w:type="fixed"/>
        <w:tblLook w:val="04A0" w:firstRow="1" w:lastRow="0" w:firstColumn="1" w:lastColumn="0" w:noHBand="0" w:noVBand="1"/>
      </w:tblPr>
      <w:tblGrid>
        <w:gridCol w:w="2700"/>
        <w:gridCol w:w="6660"/>
      </w:tblGrid>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Effective Date</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[INSERT DATE]</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Platform Owner legal name</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 xml:space="preserve">Shamar Baker, trading as </w:t>
            </w:r>
            <w:r w:rsidR="00300F03">
              <w:rPr>
                <w:b/>
                <w:color w:val="7E6000"/>
                <w:highlight w:val="yellow"/>
              </w:rPr>
              <w:t>I Create Solutions &amp; Services</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Owner address</w:t>
            </w:r>
          </w:p>
        </w:tc>
        <w:tc>
          <w:tcPr>
            <w:tcW w:w="6660" w:type="dxa"/>
            <w:tcMar>
              <w:top w:w="80" w:type="dxa"/>
              <w:left w:w="120" w:type="dxa"/>
              <w:bottom w:w="80" w:type="dxa"/>
              <w:right w:w="120" w:type="dxa"/>
            </w:tcMar>
            <w:vAlign w:val="center"/>
          </w:tcPr>
          <w:p w:rsidR="004F553A" w:rsidRPr="00310FBF" w:rsidRDefault="00310FBF">
            <w:pPr>
              <w:spacing w:after="0"/>
              <w:rPr>
                <w:color w:val="404040" w:themeColor="text1" w:themeTint="BF"/>
              </w:rPr>
            </w:pPr>
            <w:r w:rsidRPr="00310FBF">
              <w:rPr>
                <w:b/>
                <w:color w:val="404040" w:themeColor="text1" w:themeTint="BF"/>
              </w:rPr>
              <w:t>Lot 122 Windsor Road, 9 Miles Bull Bay, St Andrew</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Owner notice email</w:t>
            </w:r>
          </w:p>
        </w:tc>
        <w:tc>
          <w:tcPr>
            <w:tcW w:w="6660" w:type="dxa"/>
            <w:tcMar>
              <w:top w:w="80" w:type="dxa"/>
              <w:left w:w="120" w:type="dxa"/>
              <w:bottom w:w="80" w:type="dxa"/>
              <w:right w:w="120" w:type="dxa"/>
            </w:tcMar>
            <w:vAlign w:val="center"/>
          </w:tcPr>
          <w:p w:rsidR="004F553A" w:rsidRPr="00310FBF" w:rsidRDefault="00310FBF">
            <w:pPr>
              <w:spacing w:after="0"/>
              <w:rPr>
                <w:color w:val="404040" w:themeColor="text1" w:themeTint="BF"/>
              </w:rPr>
            </w:pPr>
            <w:r w:rsidRPr="00310FBF">
              <w:rPr>
                <w:b/>
                <w:color w:val="404040" w:themeColor="text1" w:themeTint="BF"/>
              </w:rPr>
              <w:t>Shamzbiz1@gmail.com</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Marketing Partner legal name</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[INSERT FULL LEGAL NAME]</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Partner address</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[INSERT FULL ADDRESS]</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Partner notice email</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[INSERT EMAIL]</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Referral method</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N/A</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Revenue share</w:t>
            </w:r>
          </w:p>
        </w:tc>
        <w:tc>
          <w:tcPr>
            <w:tcW w:w="6660" w:type="dxa"/>
            <w:tcMar>
              <w:top w:w="80" w:type="dxa"/>
              <w:left w:w="120" w:type="dxa"/>
              <w:bottom w:w="80" w:type="dxa"/>
              <w:right w:w="120" w:type="dxa"/>
            </w:tcMar>
            <w:vAlign w:val="center"/>
          </w:tcPr>
          <w:p w:rsidR="004F553A" w:rsidRDefault="00000000">
            <w:pPr>
              <w:spacing w:after="0"/>
            </w:pPr>
            <w:r>
              <w:rPr>
                <w:sz w:val="19"/>
              </w:rPr>
              <w:t>50% of Net Subscription Revenue from Referred Tenants</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Statement frequency</w:t>
            </w:r>
          </w:p>
        </w:tc>
        <w:tc>
          <w:tcPr>
            <w:tcW w:w="6660" w:type="dxa"/>
            <w:tcMar>
              <w:top w:w="80" w:type="dxa"/>
              <w:left w:w="120" w:type="dxa"/>
              <w:bottom w:w="80" w:type="dxa"/>
              <w:right w:w="120" w:type="dxa"/>
            </w:tcMar>
            <w:vAlign w:val="center"/>
          </w:tcPr>
          <w:p w:rsidR="004F553A" w:rsidRDefault="00000000">
            <w:pPr>
              <w:spacing w:after="0"/>
            </w:pPr>
            <w:r>
              <w:rPr>
                <w:sz w:val="19"/>
              </w:rPr>
              <w:t>Monthly</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Payment deadline</w:t>
            </w:r>
          </w:p>
        </w:tc>
        <w:tc>
          <w:tcPr>
            <w:tcW w:w="6660" w:type="dxa"/>
            <w:tcMar>
              <w:top w:w="80" w:type="dxa"/>
              <w:left w:w="120" w:type="dxa"/>
              <w:bottom w:w="80" w:type="dxa"/>
              <w:right w:w="120" w:type="dxa"/>
            </w:tcMar>
            <w:vAlign w:val="center"/>
          </w:tcPr>
          <w:p w:rsidR="004F553A" w:rsidRDefault="00000000">
            <w:pPr>
              <w:spacing w:after="0"/>
            </w:pPr>
            <w:r>
              <w:rPr>
                <w:sz w:val="19"/>
              </w:rPr>
              <w:t>Within 15 Business Days after month-end</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Payment currency</w:t>
            </w:r>
          </w:p>
        </w:tc>
        <w:tc>
          <w:tcPr>
            <w:tcW w:w="6660" w:type="dxa"/>
            <w:tcMar>
              <w:top w:w="80" w:type="dxa"/>
              <w:left w:w="120" w:type="dxa"/>
              <w:bottom w:w="80" w:type="dxa"/>
              <w:right w:w="120" w:type="dxa"/>
            </w:tcMar>
            <w:vAlign w:val="center"/>
          </w:tcPr>
          <w:p w:rsidR="004F553A" w:rsidRDefault="00000000">
            <w:pPr>
              <w:spacing w:after="0"/>
            </w:pPr>
            <w:r>
              <w:rPr>
                <w:sz w:val="19"/>
              </w:rPr>
              <w:t>Jamaican dollars unless otherwise agreed in writing</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Payment method</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PayPal unless otherwise notified in writing</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Approved Social Platforms</w:t>
            </w:r>
          </w:p>
        </w:tc>
        <w:tc>
          <w:tcPr>
            <w:tcW w:w="6660" w:type="dxa"/>
            <w:tcMar>
              <w:top w:w="80" w:type="dxa"/>
              <w:left w:w="120" w:type="dxa"/>
              <w:bottom w:w="80" w:type="dxa"/>
              <w:right w:w="120" w:type="dxa"/>
            </w:tcMar>
            <w:vAlign w:val="center"/>
          </w:tcPr>
          <w:p w:rsidR="004F553A" w:rsidRDefault="00000000">
            <w:pPr>
              <w:spacing w:after="0"/>
            </w:pPr>
            <w:r>
              <w:rPr>
                <w:b/>
                <w:color w:val="7E6000"/>
                <w:highlight w:val="yellow"/>
              </w:rPr>
              <w:t>[INSTAGRAM / FACEBOOK / TIKTOK / LINKEDIN / X / YOUTUBE / OTHER]</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Campaign approval contact</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Partner will communicate in writing</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Minimum content cadence</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Partner will communicate in writing</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Approved monthly ad budget</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N/A</w:t>
            </w:r>
          </w:p>
        </w:tc>
      </w:tr>
      <w:tr w:rsidR="004F553A">
        <w:tc>
          <w:tcPr>
            <w:tcW w:w="2700" w:type="dxa"/>
            <w:shd w:val="clear" w:color="auto" w:fill="F2F4F7"/>
            <w:tcMar>
              <w:top w:w="80" w:type="dxa"/>
              <w:left w:w="120" w:type="dxa"/>
              <w:bottom w:w="80" w:type="dxa"/>
              <w:right w:w="120" w:type="dxa"/>
            </w:tcMar>
            <w:vAlign w:val="center"/>
          </w:tcPr>
          <w:p w:rsidR="004F553A" w:rsidRDefault="00000000">
            <w:pPr>
              <w:spacing w:after="0"/>
            </w:pPr>
            <w:r>
              <w:rPr>
                <w:b/>
                <w:color w:val="17365D"/>
                <w:sz w:val="19"/>
              </w:rPr>
              <w:t>Accepted referrals at Effective Date</w:t>
            </w:r>
          </w:p>
        </w:tc>
        <w:tc>
          <w:tcPr>
            <w:tcW w:w="6660" w:type="dxa"/>
            <w:tcMar>
              <w:top w:w="80" w:type="dxa"/>
              <w:left w:w="120" w:type="dxa"/>
              <w:bottom w:w="80" w:type="dxa"/>
              <w:right w:w="120" w:type="dxa"/>
            </w:tcMar>
            <w:vAlign w:val="center"/>
          </w:tcPr>
          <w:p w:rsidR="004F553A" w:rsidRDefault="00310FBF">
            <w:pPr>
              <w:spacing w:after="0"/>
            </w:pPr>
            <w:r w:rsidRPr="00310FBF">
              <w:rPr>
                <w:b/>
                <w:color w:val="404040" w:themeColor="text1" w:themeTint="BF"/>
              </w:rPr>
              <w:t>N/A</w:t>
            </w:r>
          </w:p>
        </w:tc>
      </w:tr>
    </w:tbl>
    <w:p w:rsidR="004F553A" w:rsidRDefault="004F553A">
      <w:pPr>
        <w:spacing w:after="0"/>
      </w:pPr>
    </w:p>
    <w:p w:rsidR="004F553A" w:rsidRDefault="004F553A">
      <w:pPr>
        <w:spacing w:after="0"/>
      </w:pPr>
    </w:p>
    <w:p w:rsidR="004F553A" w:rsidRDefault="00000000">
      <w:r>
        <w:br w:type="page"/>
      </w:r>
    </w:p>
    <w:p w:rsidR="004F553A" w:rsidRDefault="00000000">
      <w:pPr>
        <w:keepNext/>
      </w:pPr>
      <w:r>
        <w:rPr>
          <w:b/>
          <w:color w:val="B58620"/>
          <w:sz w:val="20"/>
        </w:rPr>
        <w:lastRenderedPageBreak/>
        <w:t>SIGNATURES</w:t>
      </w:r>
    </w:p>
    <w:p w:rsidR="004F553A" w:rsidRDefault="00000000">
      <w:pPr>
        <w:keepNext/>
        <w:spacing w:after="320"/>
      </w:pPr>
      <w:r>
        <w:rPr>
          <w:b/>
          <w:color w:val="17365D"/>
          <w:sz w:val="44"/>
        </w:rPr>
        <w:t>Agreement and Acceptance</w:t>
      </w:r>
    </w:p>
    <w:p w:rsidR="004F553A" w:rsidRDefault="00000000">
      <w:r>
        <w:t>Each Party confirms that it has read, understood, and agreed to this Agreement and has had the opportunity to obtain independent legal, tax, and professional advice before signing.</w:t>
      </w:r>
    </w:p>
    <w:tbl>
      <w:tblPr>
        <w:tblStyle w:val="TableGrid"/>
        <w:tblW w:w="9120" w:type="dxa"/>
        <w:tblInd w:w="120" w:type="dxa"/>
        <w:tblLayout w:type="fixed"/>
        <w:tblLook w:val="04A0" w:firstRow="1" w:lastRow="0" w:firstColumn="1" w:lastColumn="0" w:noHBand="0" w:noVBand="1"/>
      </w:tblPr>
      <w:tblGrid>
        <w:gridCol w:w="4560"/>
        <w:gridCol w:w="4560"/>
      </w:tblGrid>
      <w:tr w:rsidR="004F553A">
        <w:tc>
          <w:tcPr>
            <w:tcW w:w="4560" w:type="dxa"/>
            <w:shd w:val="clear" w:color="auto" w:fill="F8FAFC"/>
            <w:tcMar>
              <w:top w:w="180" w:type="dxa"/>
              <w:left w:w="120" w:type="dxa"/>
              <w:bottom w:w="180" w:type="dxa"/>
              <w:right w:w="120" w:type="dxa"/>
            </w:tcMar>
            <w:vAlign w:val="center"/>
          </w:tcPr>
          <w:p w:rsidR="004F553A" w:rsidRDefault="00000000">
            <w:pPr>
              <w:spacing w:after="360"/>
            </w:pPr>
            <w:r>
              <w:rPr>
                <w:b/>
                <w:color w:val="17365D"/>
                <w:sz w:val="24"/>
              </w:rPr>
              <w:t>PLATFORM OWNER</w:t>
            </w:r>
          </w:p>
          <w:p w:rsidR="004F553A" w:rsidRDefault="00000000">
            <w:pPr>
              <w:spacing w:after="180" w:line="240" w:lineRule="auto"/>
            </w:pPr>
            <w:r>
              <w:rPr>
                <w:b/>
                <w:color w:val="5A626C"/>
                <w:sz w:val="18"/>
              </w:rPr>
              <w:t>Legal name:</w:t>
            </w:r>
            <w:r>
              <w:rPr>
                <w:b/>
                <w:color w:val="5A626C"/>
                <w:sz w:val="18"/>
              </w:rPr>
              <w:br/>
            </w:r>
            <w:r>
              <w:rPr>
                <w:sz w:val="20"/>
              </w:rPr>
              <w:t xml:space="preserve">Shamar Baker, trading as </w:t>
            </w:r>
            <w:r w:rsidR="00300F03">
              <w:rPr>
                <w:sz w:val="20"/>
              </w:rPr>
              <w:t>I Create Solutions &amp; Services</w:t>
            </w:r>
          </w:p>
          <w:p w:rsidR="004F553A" w:rsidRDefault="00000000">
            <w:pPr>
              <w:spacing w:after="180" w:line="240" w:lineRule="auto"/>
            </w:pPr>
            <w:r>
              <w:rPr>
                <w:b/>
                <w:color w:val="5A626C"/>
                <w:sz w:val="18"/>
              </w:rPr>
              <w:t>By / signature:</w:t>
            </w:r>
            <w:r>
              <w:rPr>
                <w:b/>
                <w:color w:val="5A626C"/>
                <w:sz w:val="18"/>
              </w:rPr>
              <w:br/>
            </w:r>
            <w:r>
              <w:rPr>
                <w:sz w:val="20"/>
              </w:rPr>
              <w:t>________________________________</w:t>
            </w:r>
          </w:p>
          <w:p w:rsidR="004F553A" w:rsidRDefault="00000000">
            <w:pPr>
              <w:spacing w:after="180" w:line="240" w:lineRule="auto"/>
            </w:pPr>
            <w:r>
              <w:rPr>
                <w:b/>
                <w:color w:val="5A626C"/>
                <w:sz w:val="18"/>
              </w:rPr>
              <w:t>Printed name:</w:t>
            </w:r>
            <w:r>
              <w:rPr>
                <w:b/>
                <w:color w:val="5A626C"/>
                <w:sz w:val="18"/>
              </w:rPr>
              <w:br/>
            </w:r>
            <w:r>
              <w:rPr>
                <w:sz w:val="20"/>
              </w:rPr>
              <w:t>________________________________</w:t>
            </w:r>
          </w:p>
          <w:p w:rsidR="004F553A" w:rsidRDefault="00000000">
            <w:pPr>
              <w:spacing w:after="180" w:line="240" w:lineRule="auto"/>
            </w:pPr>
            <w:r>
              <w:rPr>
                <w:b/>
                <w:color w:val="5A626C"/>
                <w:sz w:val="18"/>
              </w:rPr>
              <w:t>Title / capacity:</w:t>
            </w:r>
            <w:r>
              <w:rPr>
                <w:b/>
                <w:color w:val="5A626C"/>
                <w:sz w:val="18"/>
              </w:rPr>
              <w:br/>
            </w:r>
            <w:r>
              <w:rPr>
                <w:sz w:val="20"/>
              </w:rPr>
              <w:t>________________________________</w:t>
            </w:r>
          </w:p>
          <w:p w:rsidR="004F553A" w:rsidRDefault="00000000">
            <w:pPr>
              <w:spacing w:after="180" w:line="240" w:lineRule="auto"/>
            </w:pPr>
            <w:r>
              <w:rPr>
                <w:b/>
                <w:color w:val="5A626C"/>
                <w:sz w:val="18"/>
              </w:rPr>
              <w:t>Date:</w:t>
            </w:r>
            <w:r>
              <w:rPr>
                <w:b/>
                <w:color w:val="5A626C"/>
                <w:sz w:val="18"/>
              </w:rPr>
              <w:br/>
            </w:r>
            <w:r>
              <w:rPr>
                <w:sz w:val="20"/>
              </w:rPr>
              <w:t>________________________________</w:t>
            </w:r>
          </w:p>
          <w:p w:rsidR="004F553A" w:rsidRDefault="00000000">
            <w:pPr>
              <w:spacing w:after="180" w:line="240" w:lineRule="auto"/>
            </w:pPr>
            <w:r>
              <w:rPr>
                <w:b/>
                <w:color w:val="5A626C"/>
                <w:sz w:val="18"/>
              </w:rPr>
              <w:t>Witness signature:</w:t>
            </w:r>
            <w:r>
              <w:rPr>
                <w:b/>
                <w:color w:val="5A626C"/>
                <w:sz w:val="18"/>
              </w:rPr>
              <w:br/>
            </w:r>
            <w:r>
              <w:rPr>
                <w:sz w:val="20"/>
              </w:rPr>
              <w:t>________________________________</w:t>
            </w:r>
          </w:p>
          <w:p w:rsidR="004F553A" w:rsidRDefault="00000000">
            <w:pPr>
              <w:spacing w:after="180" w:line="240" w:lineRule="auto"/>
            </w:pPr>
            <w:r>
              <w:rPr>
                <w:b/>
                <w:color w:val="5A626C"/>
                <w:sz w:val="18"/>
              </w:rPr>
              <w:t>Witness printed name:</w:t>
            </w:r>
            <w:r>
              <w:rPr>
                <w:b/>
                <w:color w:val="5A626C"/>
                <w:sz w:val="18"/>
              </w:rPr>
              <w:br/>
            </w:r>
            <w:r>
              <w:rPr>
                <w:sz w:val="20"/>
              </w:rPr>
              <w:t>________________________________</w:t>
            </w:r>
          </w:p>
        </w:tc>
        <w:tc>
          <w:tcPr>
            <w:tcW w:w="4560" w:type="dxa"/>
            <w:shd w:val="clear" w:color="auto" w:fill="F8FAFC"/>
            <w:tcMar>
              <w:top w:w="180" w:type="dxa"/>
              <w:left w:w="120" w:type="dxa"/>
              <w:bottom w:w="180" w:type="dxa"/>
              <w:right w:w="120" w:type="dxa"/>
            </w:tcMar>
            <w:vAlign w:val="center"/>
          </w:tcPr>
          <w:p w:rsidR="004F553A" w:rsidRDefault="00000000">
            <w:pPr>
              <w:spacing w:after="360"/>
            </w:pPr>
            <w:r>
              <w:rPr>
                <w:b/>
                <w:color w:val="17365D"/>
                <w:sz w:val="24"/>
              </w:rPr>
              <w:t>MARKETING PARTNER</w:t>
            </w:r>
          </w:p>
          <w:p w:rsidR="004F553A" w:rsidRDefault="00000000">
            <w:pPr>
              <w:spacing w:after="180" w:line="240" w:lineRule="auto"/>
            </w:pPr>
            <w:r>
              <w:rPr>
                <w:b/>
                <w:color w:val="5A626C"/>
                <w:sz w:val="18"/>
              </w:rPr>
              <w:t>Legal name:</w:t>
            </w:r>
            <w:r>
              <w:rPr>
                <w:b/>
                <w:color w:val="5A626C"/>
                <w:sz w:val="18"/>
              </w:rPr>
              <w:br/>
            </w:r>
            <w:r>
              <w:rPr>
                <w:b/>
                <w:color w:val="7E6000"/>
                <w:highlight w:val="yellow"/>
              </w:rPr>
              <w:t>[INSERT PARTNER'S FULL LEGAL NAME]</w:t>
            </w:r>
          </w:p>
          <w:p w:rsidR="004F553A" w:rsidRDefault="00000000">
            <w:pPr>
              <w:spacing w:after="180" w:line="240" w:lineRule="auto"/>
            </w:pPr>
            <w:r>
              <w:rPr>
                <w:b/>
                <w:color w:val="5A626C"/>
                <w:sz w:val="18"/>
              </w:rPr>
              <w:t>By / signature:</w:t>
            </w:r>
            <w:r>
              <w:rPr>
                <w:b/>
                <w:color w:val="5A626C"/>
                <w:sz w:val="18"/>
              </w:rPr>
              <w:br/>
            </w:r>
            <w:r>
              <w:rPr>
                <w:sz w:val="20"/>
              </w:rPr>
              <w:t>________________________________</w:t>
            </w:r>
          </w:p>
          <w:p w:rsidR="004F553A" w:rsidRDefault="00000000">
            <w:pPr>
              <w:spacing w:after="180" w:line="240" w:lineRule="auto"/>
            </w:pPr>
            <w:r>
              <w:rPr>
                <w:b/>
                <w:color w:val="5A626C"/>
                <w:sz w:val="18"/>
              </w:rPr>
              <w:t>Printed name:</w:t>
            </w:r>
            <w:r>
              <w:rPr>
                <w:b/>
                <w:color w:val="5A626C"/>
                <w:sz w:val="18"/>
              </w:rPr>
              <w:br/>
            </w:r>
            <w:r>
              <w:rPr>
                <w:sz w:val="20"/>
              </w:rPr>
              <w:t>________________________________</w:t>
            </w:r>
          </w:p>
          <w:p w:rsidR="004F553A" w:rsidRDefault="00000000">
            <w:pPr>
              <w:spacing w:after="180" w:line="240" w:lineRule="auto"/>
            </w:pPr>
            <w:r>
              <w:rPr>
                <w:b/>
                <w:color w:val="5A626C"/>
                <w:sz w:val="18"/>
              </w:rPr>
              <w:t>Title / capacity:</w:t>
            </w:r>
            <w:r>
              <w:rPr>
                <w:b/>
                <w:color w:val="5A626C"/>
                <w:sz w:val="18"/>
              </w:rPr>
              <w:br/>
            </w:r>
            <w:r>
              <w:rPr>
                <w:sz w:val="20"/>
              </w:rPr>
              <w:t>________________________________</w:t>
            </w:r>
          </w:p>
          <w:p w:rsidR="004F553A" w:rsidRDefault="00000000">
            <w:pPr>
              <w:spacing w:after="180" w:line="240" w:lineRule="auto"/>
            </w:pPr>
            <w:r>
              <w:rPr>
                <w:b/>
                <w:color w:val="5A626C"/>
                <w:sz w:val="18"/>
              </w:rPr>
              <w:t>Date:</w:t>
            </w:r>
            <w:r>
              <w:rPr>
                <w:b/>
                <w:color w:val="5A626C"/>
                <w:sz w:val="18"/>
              </w:rPr>
              <w:br/>
            </w:r>
            <w:r>
              <w:rPr>
                <w:sz w:val="20"/>
              </w:rPr>
              <w:t>________________________________</w:t>
            </w:r>
          </w:p>
          <w:p w:rsidR="004F553A" w:rsidRDefault="00000000">
            <w:pPr>
              <w:spacing w:after="180" w:line="240" w:lineRule="auto"/>
            </w:pPr>
            <w:r>
              <w:rPr>
                <w:b/>
                <w:color w:val="5A626C"/>
                <w:sz w:val="18"/>
              </w:rPr>
              <w:t>Witness signature:</w:t>
            </w:r>
            <w:r>
              <w:rPr>
                <w:b/>
                <w:color w:val="5A626C"/>
                <w:sz w:val="18"/>
              </w:rPr>
              <w:br/>
            </w:r>
            <w:r>
              <w:rPr>
                <w:sz w:val="20"/>
              </w:rPr>
              <w:t>________________________________</w:t>
            </w:r>
          </w:p>
          <w:p w:rsidR="004F553A" w:rsidRDefault="00000000">
            <w:pPr>
              <w:spacing w:after="180" w:line="240" w:lineRule="auto"/>
            </w:pPr>
            <w:r>
              <w:rPr>
                <w:b/>
                <w:color w:val="5A626C"/>
                <w:sz w:val="18"/>
              </w:rPr>
              <w:t>Witness printed name:</w:t>
            </w:r>
            <w:r>
              <w:rPr>
                <w:b/>
                <w:color w:val="5A626C"/>
                <w:sz w:val="18"/>
              </w:rPr>
              <w:br/>
            </w:r>
            <w:r>
              <w:rPr>
                <w:sz w:val="20"/>
              </w:rPr>
              <w:t>________________________________</w:t>
            </w:r>
          </w:p>
        </w:tc>
      </w:tr>
    </w:tbl>
    <w:p w:rsidR="005A7154" w:rsidRDefault="005A7154"/>
    <w:sectPr w:rsidR="005A7154">
      <w:headerReference w:type="default" r:id="rId8"/>
      <w:footerReference w:type="default" r:id="rId9"/>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7154" w:rsidRDefault="005A7154">
      <w:pPr>
        <w:spacing w:after="0" w:line="240" w:lineRule="auto"/>
      </w:pPr>
      <w:r>
        <w:separator/>
      </w:r>
    </w:p>
  </w:endnote>
  <w:endnote w:type="continuationSeparator" w:id="0">
    <w:p w:rsidR="005A7154" w:rsidRDefault="005A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553A" w:rsidRDefault="00000000">
    <w:pPr>
      <w:pStyle w:val="Footer"/>
      <w:spacing w:line="264" w:lineRule="auto"/>
      <w:jc w:val="center"/>
    </w:pPr>
    <w:r>
      <w:rPr>
        <w:color w:val="5A626C"/>
        <w:sz w:val="16"/>
      </w:rPr>
      <w:t xml:space="preserve">CONFIDENTIAL  •  Page </w:t>
    </w:r>
    <w:r>
      <w:rPr>
        <w:color w:val="5A626C"/>
        <w:sz w:val="16"/>
      </w:rPr>
      <w:fldChar w:fldCharType="begin"/>
    </w:r>
    <w:r>
      <w:rPr>
        <w:color w:val="5A626C"/>
        <w:sz w:val="16"/>
      </w:rPr>
      <w:instrText>PAGE</w:instrText>
    </w:r>
    <w:r w:rsidR="00300F03">
      <w:rPr>
        <w:color w:val="5A626C"/>
        <w:sz w:val="16"/>
      </w:rPr>
      <w:fldChar w:fldCharType="separate"/>
    </w:r>
    <w:r w:rsidR="00300F03">
      <w:rPr>
        <w:noProof/>
        <w:color w:val="5A626C"/>
        <w:sz w:val="16"/>
      </w:rPr>
      <w:t>1</w:t>
    </w:r>
    <w:r>
      <w:rPr>
        <w:color w:val="5A626C"/>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7154" w:rsidRDefault="005A7154">
      <w:pPr>
        <w:spacing w:after="0" w:line="240" w:lineRule="auto"/>
      </w:pPr>
      <w:r>
        <w:separator/>
      </w:r>
    </w:p>
  </w:footnote>
  <w:footnote w:type="continuationSeparator" w:id="0">
    <w:p w:rsidR="005A7154" w:rsidRDefault="005A7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553A" w:rsidRDefault="00000000">
    <w:pPr>
      <w:pStyle w:val="Header"/>
    </w:pPr>
    <w:r>
      <w:rPr>
        <w:b/>
        <w:color w:val="5A626C"/>
        <w:sz w:val="17"/>
      </w:rPr>
      <w:t>ICSS BOOKING SYSTEM</w:t>
    </w:r>
    <w:r>
      <w:rPr>
        <w:color w:val="5A626C"/>
        <w:sz w:val="17"/>
      </w:rPr>
      <w:tab/>
      <w:t>MARKETING &amp; REVENUE SHARE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868131">
    <w:abstractNumId w:val="8"/>
  </w:num>
  <w:num w:numId="2" w16cid:durableId="80488723">
    <w:abstractNumId w:val="6"/>
  </w:num>
  <w:num w:numId="3" w16cid:durableId="672032180">
    <w:abstractNumId w:val="5"/>
  </w:num>
  <w:num w:numId="4" w16cid:durableId="1679500200">
    <w:abstractNumId w:val="4"/>
  </w:num>
  <w:num w:numId="5" w16cid:durableId="1926306464">
    <w:abstractNumId w:val="7"/>
  </w:num>
  <w:num w:numId="6" w16cid:durableId="949121166">
    <w:abstractNumId w:val="3"/>
  </w:num>
  <w:num w:numId="7" w16cid:durableId="2105418577">
    <w:abstractNumId w:val="2"/>
  </w:num>
  <w:num w:numId="8" w16cid:durableId="511920940">
    <w:abstractNumId w:val="1"/>
  </w:num>
  <w:num w:numId="9" w16cid:durableId="43583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F03"/>
    <w:rsid w:val="00310FBF"/>
    <w:rsid w:val="00326F90"/>
    <w:rsid w:val="004F553A"/>
    <w:rsid w:val="005A7154"/>
    <w:rsid w:val="00A26D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E2F6"/>
  <w14:defaultImageDpi w14:val="300"/>
  <w15:docId w15:val="{F4FD6B09-7A42-3542-8E26-29629F1E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81F26"/>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Subtitle">
    <w:name w:val="Agreement Subtitle"/>
    <w:pPr>
      <w:spacing w:after="360"/>
    </w:pPr>
    <w:rPr>
      <w:rFonts w:ascii="Calibri" w:hAnsi="Calibri"/>
      <w:color w:val="5A626C"/>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5263</Words>
  <Characters>30005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ICSS Booking System – Marketing Services and Revenue Share Agreement</vt:lpstr>
    </vt:vector>
  </TitlesOfParts>
  <Manager/>
  <Company/>
  <LinksUpToDate>false</LinksUpToDate>
  <CharactersWithSpaces>35198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ICSS Booking System – Marketing Services and Revenue Share Agreement</dc:title>
  <dc:subject>Marketing services, referral attribution, and revenue share</dc:subject>
  <dc:creator/>
  <cp:keywords>ICSS Booking System, iCreate Solutions &amp; Services, revenue share, marketing</cp:keywords>
  <dc:description>generated by python-docx</dc:description>
  <cp:lastModifiedBy>Williams-Harrison,Stacy-Ann</cp:lastModifiedBy>
  <cp:revision>3</cp:revision>
  <dcterms:created xsi:type="dcterms:W3CDTF">2013-12-23T23:15:00Z</dcterms:created>
  <dcterms:modified xsi:type="dcterms:W3CDTF">2026-07-15T23:48:00Z</dcterms:modified>
  <cp:category/>
</cp:coreProperties>
</file>