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36"/>
          <w:szCs w:val="36"/>
        </w:rPr>
        <w:t xml:space="preserve">Аналитический отчёт по продажам магазина</w:t>
      </w:r>
    </w:p>
    <w:p>
      <w:pPr>
        <w:spacing w:after="480" w:before="0"/>
        <w:jc w:val="center"/>
      </w:pPr>
      <w:r>
        <w:rPr>
          <w:rFonts w:ascii="Arial" w:cs="Arial" w:eastAsia="Arial" w:hAnsi="Arial"/>
          <w:sz w:val="22"/>
          <w:szCs w:val="22"/>
        </w:rPr>
        <w:t xml:space="preserve">Период: 2003–2005 гг.</w:t>
      </w:r>
    </w:p>
    <w:p>
      <w:pPr>
        <w:pStyle w:val="Heading1"/>
        <w:spacing w:after="160" w:before="320"/>
      </w:pPr>
      <w:r>
        <w:rPr>
          <w:rFonts w:ascii="Arial" w:cs="Arial" w:eastAsia="Arial" w:hAnsi="Arial"/>
          <w:b/>
          <w:bCs/>
          <w:sz w:val="28"/>
          <w:szCs w:val="28"/>
        </w:rPr>
        <w:t xml:space="preserve">1. Введение</w:t>
      </w:r>
    </w:p>
    <w:p>
      <w:pPr>
        <w:spacing w:after="80" w:before="80"/>
      </w:pPr>
      <w:r>
        <w:rPr>
          <w:rFonts w:ascii="Arial" w:cs="Arial" w:eastAsia="Arial" w:hAnsi="Arial"/>
          <w:sz w:val="22"/>
          <w:szCs w:val="22"/>
        </w:rPr>
        <w:t xml:space="preserve">Данный отчёт представляет анализ данных о продажах магазина за период с 2003 по 2005 год. Источником данных является CSV-файл sales_data_utf8.csv, содержащий 2823 записи о транзакциях. В ходе анализа были изучены общая динамика выручки, структура продаж по категориям товаров, территориям и клиентам, а также выявлены ключевые тенденции и точки роста.</w:t>
      </w:r>
    </w:p>
    <w:p>
      <w:r>
        <w:t xml:space="preserve"/>
      </w:r>
    </w:p>
    <w:p>
      <w:pPr>
        <w:pStyle w:val="Heading1"/>
        <w:spacing w:after="160" w:before="320"/>
      </w:pPr>
      <w:r>
        <w:rPr>
          <w:rFonts w:ascii="Arial" w:cs="Arial" w:eastAsia="Arial" w:hAnsi="Arial"/>
          <w:b/>
          <w:bCs/>
          <w:sz w:val="28"/>
          <w:szCs w:val="28"/>
        </w:rPr>
        <w:t xml:space="preserve">2. Общие показатели</w:t>
      </w:r>
    </w:p>
    <w:p>
      <w:pPr>
        <w:spacing w:after="80" w:before="80"/>
      </w:pPr>
      <w:r>
        <w:rPr>
          <w:rFonts w:ascii="Arial" w:cs="Arial" w:eastAsia="Arial" w:hAnsi="Arial"/>
          <w:sz w:val="22"/>
          <w:szCs w:val="22"/>
        </w:rPr>
        <w:t xml:space="preserve">За три года работы магазин обработал 307 уникальных заказов на общую сумму более 10 миллионов долларов. Средний чек составил около 32 680 долларов, что говорит о работе преимущественно в сегменте оптовых или крупных розничных продаж.</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9D9D9"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Показатель</w:t>
            </w:r>
          </w:p>
        </w:tc>
        <w:tc>
          <w:tcPr>
            <w:tcW w:type="dxa" w:w="4680"/>
            <w:tcBorders>
              <w:top w:val="single" w:color="AAAAAA" w:sz="1"/>
              <w:left w:val="single" w:color="AAAAAA" w:sz="1"/>
              <w:bottom w:val="single" w:color="AAAAAA" w:sz="1"/>
              <w:right w:val="single" w:color="AAAAAA" w:sz="1"/>
            </w:tcBorders>
            <w:shd w:fill="D9D9D9"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Значение</w:t>
            </w:r>
          </w:p>
        </w:tc>
      </w:tr>
      <w:tr>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Общая выручка</w:t>
            </w:r>
          </w:p>
        </w:tc>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$10 032 628.85</w:t>
            </w:r>
          </w:p>
        </w:tc>
      </w:tr>
      <w:tr>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Количество уникальных заказов</w:t>
            </w:r>
          </w:p>
        </w:tc>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307</w:t>
            </w:r>
          </w:p>
        </w:tc>
      </w:tr>
      <w:tr>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Общее количество товаров</w:t>
            </w:r>
          </w:p>
        </w:tc>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99 067</w:t>
            </w:r>
          </w:p>
        </w:tc>
      </w:tr>
      <w:tr>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Средний чек на заказ</w:t>
            </w:r>
          </w:p>
        </w:tc>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$32 679.57</w:t>
            </w:r>
          </w:p>
        </w:tc>
      </w:tr>
      <w:tr>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Период анализа</w:t>
            </w:r>
          </w:p>
        </w:tc>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2003–2005</w:t>
            </w:r>
          </w:p>
        </w:tc>
      </w:tr>
    </w:tbl>
    <w:p>
      <w:r>
        <w:t xml:space="preserve"/>
      </w:r>
    </w:p>
    <w:p>
      <w:pPr>
        <w:pStyle w:val="Heading1"/>
        <w:spacing w:after="160" w:before="320"/>
      </w:pPr>
      <w:r>
        <w:rPr>
          <w:rFonts w:ascii="Arial" w:cs="Arial" w:eastAsia="Arial" w:hAnsi="Arial"/>
          <w:b/>
          <w:bCs/>
          <w:sz w:val="28"/>
          <w:szCs w:val="28"/>
        </w:rPr>
        <w:t xml:space="preserve">3. Динамика продаж по годам</w:t>
      </w:r>
    </w:p>
    <w:p>
      <w:pPr>
        <w:spacing w:after="80" w:before="80"/>
      </w:pPr>
      <w:r>
        <w:rPr>
          <w:rFonts w:ascii="Arial" w:cs="Arial" w:eastAsia="Arial" w:hAnsi="Arial"/>
          <w:sz w:val="22"/>
          <w:szCs w:val="22"/>
        </w:rPr>
        <w:t xml:space="preserve">Наиболее успешным годом стал 2004 год с выручкой 4,72 млн долларов — рост на 34% по сравнению с 2003 годом. В 2005 году зафиксировано резкое падение выручки до 1,79 млн долларов, однако это объясняется тем, что данные за 2005 год охватывают только первые пять месяцев (январь–май), тогда как пиковые продажи традиционно приходятся на октябрь–ноябрь. В пересчёте на полный год 2005 год мог бы показать сопоставимый с предыдущими периодами результат.</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2340"/>
        <w:gridCol w:w="2340"/>
      </w:tblGrid>
      <w:tr>
        <w:tc>
          <w:tcPr>
            <w:tcW w:type="dxa" w:w="1560"/>
            <w:tcBorders>
              <w:top w:val="single" w:color="AAAAAA" w:sz="1"/>
              <w:left w:val="single" w:color="AAAAAA" w:sz="1"/>
              <w:bottom w:val="single" w:color="AAAAAA" w:sz="1"/>
              <w:right w:val="single" w:color="AAAAAA" w:sz="1"/>
            </w:tcBorders>
            <w:shd w:fill="D9D9D9"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Год</w:t>
            </w:r>
          </w:p>
        </w:tc>
        <w:tc>
          <w:tcPr>
            <w:tcW w:type="dxa" w:w="3120"/>
            <w:tcBorders>
              <w:top w:val="single" w:color="AAAAAA" w:sz="1"/>
              <w:left w:val="single" w:color="AAAAAA" w:sz="1"/>
              <w:bottom w:val="single" w:color="AAAAAA" w:sz="1"/>
              <w:right w:val="single" w:color="AAAAAA" w:sz="1"/>
            </w:tcBorders>
            <w:shd w:fill="D9D9D9"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Выручка</w:t>
            </w:r>
          </w:p>
        </w:tc>
        <w:tc>
          <w:tcPr>
            <w:tcW w:type="dxa" w:w="2340"/>
            <w:tcBorders>
              <w:top w:val="single" w:color="AAAAAA" w:sz="1"/>
              <w:left w:val="single" w:color="AAAAAA" w:sz="1"/>
              <w:bottom w:val="single" w:color="AAAAAA" w:sz="1"/>
              <w:right w:val="single" w:color="AAAAAA" w:sz="1"/>
            </w:tcBorders>
            <w:shd w:fill="D9D9D9"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Заказов</w:t>
            </w:r>
          </w:p>
        </w:tc>
        <w:tc>
          <w:tcPr>
            <w:tcW w:type="dxa" w:w="2340"/>
            <w:tcBorders>
              <w:top w:val="single" w:color="AAAAAA" w:sz="1"/>
              <w:left w:val="single" w:color="AAAAAA" w:sz="1"/>
              <w:bottom w:val="single" w:color="AAAAAA" w:sz="1"/>
              <w:right w:val="single" w:color="AAAAAA" w:sz="1"/>
            </w:tcBorders>
            <w:shd w:fill="D9D9D9"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Товаров</w:t>
            </w:r>
          </w:p>
        </w:tc>
      </w:tr>
      <w:tr>
        <w:tc>
          <w:tcPr>
            <w:tcW w:type="dxa" w:w="156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2003</w:t>
            </w:r>
          </w:p>
        </w:tc>
        <w:tc>
          <w:tcPr>
            <w:tcW w:type="dxa" w:w="312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$3 516 979.54</w:t>
            </w:r>
          </w:p>
        </w:tc>
        <w:tc>
          <w:tcPr>
            <w:tcW w:type="dxa" w:w="234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104</w:t>
            </w:r>
          </w:p>
        </w:tc>
        <w:tc>
          <w:tcPr>
            <w:tcW w:type="dxa" w:w="234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34 612</w:t>
            </w:r>
          </w:p>
        </w:tc>
      </w:tr>
      <w:tr>
        <w:tc>
          <w:tcPr>
            <w:tcW w:type="dxa" w:w="156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2004</w:t>
            </w:r>
          </w:p>
        </w:tc>
        <w:tc>
          <w:tcPr>
            <w:tcW w:type="dxa" w:w="312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$4 724 162.60</w:t>
            </w:r>
          </w:p>
        </w:tc>
        <w:tc>
          <w:tcPr>
            <w:tcW w:type="dxa" w:w="234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144</w:t>
            </w:r>
          </w:p>
        </w:tc>
        <w:tc>
          <w:tcPr>
            <w:tcW w:type="dxa" w:w="234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46 824</w:t>
            </w:r>
          </w:p>
        </w:tc>
      </w:tr>
      <w:tr>
        <w:tc>
          <w:tcPr>
            <w:tcW w:type="dxa" w:w="156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2005</w:t>
            </w:r>
          </w:p>
        </w:tc>
        <w:tc>
          <w:tcPr>
            <w:tcW w:type="dxa" w:w="312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$1 791 486.71</w:t>
            </w:r>
          </w:p>
        </w:tc>
        <w:tc>
          <w:tcPr>
            <w:tcW w:type="dxa" w:w="234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59</w:t>
            </w:r>
          </w:p>
        </w:tc>
        <w:tc>
          <w:tcPr>
            <w:tcW w:type="dxa" w:w="234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17 631</w:t>
            </w:r>
          </w:p>
        </w:tc>
      </w:tr>
    </w:tbl>
    <w:p>
      <w:r>
        <w:t xml:space="preserve"/>
      </w:r>
    </w:p>
    <w:p>
      <w:pPr>
        <w:spacing w:after="80" w:before="80"/>
      </w:pPr>
      <w:r>
        <w:rPr>
          <w:rFonts w:ascii="Arial" w:cs="Arial" w:eastAsia="Arial" w:hAnsi="Arial"/>
          <w:sz w:val="22"/>
          <w:szCs w:val="22"/>
        </w:rPr>
        <w:t xml:space="preserve">Анализ сезонности по 2003 году показывает характерный для магазина паттерн: резкий скачок продаж в октябре (+115% к сентябрю) и пик в ноябре (1 029 837 долларов — 29% годовой выручки). Лучший месяц за весь период наблюдений — ноябрь 2004 года.</w:t>
      </w:r>
    </w:p>
    <w:p>
      <w:r>
        <w:t xml:space="preserve"/>
      </w:r>
    </w:p>
    <w:p>
      <w:pPr>
        <w:pStyle w:val="Heading1"/>
        <w:spacing w:after="160" w:before="320"/>
      </w:pPr>
      <w:r>
        <w:rPr>
          <w:rFonts w:ascii="Arial" w:cs="Arial" w:eastAsia="Arial" w:hAnsi="Arial"/>
          <w:b/>
          <w:bCs/>
          <w:sz w:val="28"/>
          <w:szCs w:val="28"/>
        </w:rPr>
        <w:t xml:space="preserve">4. Продажи по категориям товаров</w:t>
      </w:r>
    </w:p>
    <w:p>
      <w:pPr>
        <w:spacing w:after="80" w:before="80"/>
      </w:pPr>
      <w:r>
        <w:rPr>
          <w:rFonts w:ascii="Arial" w:cs="Arial" w:eastAsia="Arial" w:hAnsi="Arial"/>
          <w:sz w:val="22"/>
          <w:szCs w:val="22"/>
        </w:rPr>
        <w:t xml:space="preserve">Безусловным лидером продаж является категория Classic Cars, которая формирует почти 40% всей выручки. В совокупности с Vintage Cars эти две категории обеспечивают более 58% дохода магазина. Наименее доходной категорией остаются Trains с долей всего 2,26%.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60"/>
        <w:gridCol w:w="1600"/>
        <w:gridCol w:w="2000"/>
      </w:tblGrid>
      <w:tr>
        <w:tc>
          <w:tcPr>
            <w:tcW w:type="dxa" w:w="2800"/>
            <w:tcBorders>
              <w:top w:val="single" w:color="AAAAAA" w:sz="1"/>
              <w:left w:val="single" w:color="AAAAAA" w:sz="1"/>
              <w:bottom w:val="single" w:color="AAAAAA" w:sz="1"/>
              <w:right w:val="single" w:color="AAAAAA" w:sz="1"/>
            </w:tcBorders>
            <w:shd w:fill="D9D9D9"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Категория</w:t>
            </w:r>
          </w:p>
        </w:tc>
        <w:tc>
          <w:tcPr>
            <w:tcW w:type="dxa" w:w="2960"/>
            <w:tcBorders>
              <w:top w:val="single" w:color="AAAAAA" w:sz="1"/>
              <w:left w:val="single" w:color="AAAAAA" w:sz="1"/>
              <w:bottom w:val="single" w:color="AAAAAA" w:sz="1"/>
              <w:right w:val="single" w:color="AAAAAA" w:sz="1"/>
            </w:tcBorders>
            <w:shd w:fill="D9D9D9"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Выручка</w:t>
            </w:r>
          </w:p>
        </w:tc>
        <w:tc>
          <w:tcPr>
            <w:tcW w:type="dxa" w:w="1600"/>
            <w:tcBorders>
              <w:top w:val="single" w:color="AAAAAA" w:sz="1"/>
              <w:left w:val="single" w:color="AAAAAA" w:sz="1"/>
              <w:bottom w:val="single" w:color="AAAAAA" w:sz="1"/>
              <w:right w:val="single" w:color="AAAAAA" w:sz="1"/>
            </w:tcBorders>
            <w:shd w:fill="D9D9D9"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Заказов</w:t>
            </w:r>
          </w:p>
        </w:tc>
        <w:tc>
          <w:tcPr>
            <w:tcW w:type="dxa" w:w="2000"/>
            <w:tcBorders>
              <w:top w:val="single" w:color="AAAAAA" w:sz="1"/>
              <w:left w:val="single" w:color="AAAAAA" w:sz="1"/>
              <w:bottom w:val="single" w:color="AAAAAA" w:sz="1"/>
              <w:right w:val="single" w:color="AAAAAA" w:sz="1"/>
            </w:tcBorders>
            <w:shd w:fill="D9D9D9"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Доля %</w:t>
            </w:r>
          </w:p>
        </w:tc>
      </w:tr>
      <w:tr>
        <w:tc>
          <w:tcPr>
            <w:tcW w:type="dxa" w:w="28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Classic Cars</w:t>
            </w:r>
          </w:p>
        </w:tc>
        <w:tc>
          <w:tcPr>
            <w:tcW w:type="dxa" w:w="296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$3 919 615.66</w:t>
            </w:r>
          </w:p>
        </w:tc>
        <w:tc>
          <w:tcPr>
            <w:tcW w:type="dxa" w:w="16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199</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39.07%</w:t>
            </w:r>
          </w:p>
        </w:tc>
      </w:tr>
      <w:tr>
        <w:tc>
          <w:tcPr>
            <w:tcW w:type="dxa" w:w="28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Vintage Cars</w:t>
            </w:r>
          </w:p>
        </w:tc>
        <w:tc>
          <w:tcPr>
            <w:tcW w:type="dxa" w:w="296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$1 903 150.84</w:t>
            </w:r>
          </w:p>
        </w:tc>
        <w:tc>
          <w:tcPr>
            <w:tcW w:type="dxa" w:w="16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175</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18.97%</w:t>
            </w:r>
          </w:p>
        </w:tc>
      </w:tr>
      <w:tr>
        <w:tc>
          <w:tcPr>
            <w:tcW w:type="dxa" w:w="28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Motorcycles</w:t>
            </w:r>
          </w:p>
        </w:tc>
        <w:tc>
          <w:tcPr>
            <w:tcW w:type="dxa" w:w="296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$1 166 388.34</w:t>
            </w:r>
          </w:p>
        </w:tc>
        <w:tc>
          <w:tcPr>
            <w:tcW w:type="dxa" w:w="16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72</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11.63%</w:t>
            </w:r>
          </w:p>
        </w:tc>
      </w:tr>
      <w:tr>
        <w:tc>
          <w:tcPr>
            <w:tcW w:type="dxa" w:w="28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Trucks and Buses</w:t>
            </w:r>
          </w:p>
        </w:tc>
        <w:tc>
          <w:tcPr>
            <w:tcW w:type="dxa" w:w="296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$1 127 789.84</w:t>
            </w:r>
          </w:p>
        </w:tc>
        <w:tc>
          <w:tcPr>
            <w:tcW w:type="dxa" w:w="16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73</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11.24%</w:t>
            </w:r>
          </w:p>
        </w:tc>
      </w:tr>
      <w:tr>
        <w:tc>
          <w:tcPr>
            <w:tcW w:type="dxa" w:w="28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Planes</w:t>
            </w:r>
          </w:p>
        </w:tc>
        <w:tc>
          <w:tcPr>
            <w:tcW w:type="dxa" w:w="296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$975 003.57</w:t>
            </w:r>
          </w:p>
        </w:tc>
        <w:tc>
          <w:tcPr>
            <w:tcW w:type="dxa" w:w="16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59</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9.72%</w:t>
            </w:r>
          </w:p>
        </w:tc>
      </w:tr>
      <w:tr>
        <w:tc>
          <w:tcPr>
            <w:tcW w:type="dxa" w:w="28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Ships</w:t>
            </w:r>
          </w:p>
        </w:tc>
        <w:tc>
          <w:tcPr>
            <w:tcW w:type="dxa" w:w="296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$714 437.13</w:t>
            </w:r>
          </w:p>
        </w:tc>
        <w:tc>
          <w:tcPr>
            <w:tcW w:type="dxa" w:w="16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65</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7.12%</w:t>
            </w:r>
          </w:p>
        </w:tc>
      </w:tr>
      <w:tr>
        <w:tc>
          <w:tcPr>
            <w:tcW w:type="dxa" w:w="28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Trains</w:t>
            </w:r>
          </w:p>
        </w:tc>
        <w:tc>
          <w:tcPr>
            <w:tcW w:type="dxa" w:w="296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$226 243.47</w:t>
            </w:r>
          </w:p>
        </w:tc>
        <w:tc>
          <w:tcPr>
            <w:tcW w:type="dxa" w:w="16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45</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2.26%</w:t>
            </w:r>
          </w:p>
        </w:tc>
      </w:tr>
    </w:tbl>
    <w:p>
      <w:r>
        <w:t xml:space="preserve"/>
      </w:r>
    </w:p>
    <w:p>
      <w:pPr>
        <w:spacing w:after="80" w:before="80"/>
      </w:pPr>
      <w:r>
        <w:rPr>
          <w:rFonts w:ascii="Arial" w:cs="Arial" w:eastAsia="Arial" w:hAnsi="Arial"/>
          <w:sz w:val="22"/>
          <w:szCs w:val="22"/>
        </w:rPr>
        <w:t xml:space="preserve">Таким образом, стратегически важно поддерживать высокий уровень запасов и ассортимента именно в категориях Classic Cars и Vintage Cars, так как они являются основными генераторами выручки.</w:t>
      </w:r>
    </w:p>
    <w:p>
      <w:r>
        <w:t xml:space="preserve"/>
      </w:r>
    </w:p>
    <w:p>
      <w:pPr>
        <w:pStyle w:val="Heading1"/>
        <w:spacing w:after="160" w:before="320"/>
      </w:pPr>
      <w:r>
        <w:rPr>
          <w:rFonts w:ascii="Arial" w:cs="Arial" w:eastAsia="Arial" w:hAnsi="Arial"/>
          <w:b/>
          <w:bCs/>
          <w:sz w:val="28"/>
          <w:szCs w:val="28"/>
        </w:rPr>
        <w:t xml:space="preserve">5. Анализ продаж по территориям</w:t>
      </w:r>
    </w:p>
    <w:p>
      <w:pPr>
        <w:spacing w:after="80" w:before="80"/>
      </w:pPr>
      <w:r>
        <w:rPr>
          <w:rFonts w:ascii="Arial" w:cs="Arial" w:eastAsia="Arial" w:hAnsi="Arial"/>
          <w:sz w:val="22"/>
          <w:szCs w:val="22"/>
        </w:rPr>
        <w:t xml:space="preserve">Регион EMEA (Европа, Ближний Восток и Африка) является ключевым рынком магазина с долей выручки 49,63%. Значительная часть заказов (38,40%) имеет неуказанную территорию — это может быть связано с незаполненными данными либо с клиентами без чёткой региональной привязки. Азиатско-Тихоокеанский регион (APAC) и Япония вместе дают менее 12% выручки, что указывает на потенциал для роста в этих направлениях.</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tcBorders>
              <w:top w:val="single" w:color="AAAAAA" w:sz="1"/>
              <w:left w:val="single" w:color="AAAAAA" w:sz="1"/>
              <w:bottom w:val="single" w:color="AAAAAA" w:sz="1"/>
              <w:right w:val="single" w:color="AAAAAA" w:sz="1"/>
            </w:tcBorders>
            <w:shd w:fill="D9D9D9"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Территория</w:t>
            </w:r>
          </w:p>
        </w:tc>
        <w:tc>
          <w:tcPr>
            <w:tcW w:type="dxa" w:w="3900"/>
            <w:tcBorders>
              <w:top w:val="single" w:color="AAAAAA" w:sz="1"/>
              <w:left w:val="single" w:color="AAAAAA" w:sz="1"/>
              <w:bottom w:val="single" w:color="AAAAAA" w:sz="1"/>
              <w:right w:val="single" w:color="AAAAAA" w:sz="1"/>
            </w:tcBorders>
            <w:shd w:fill="D9D9D9"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Выручка</w:t>
            </w:r>
          </w:p>
        </w:tc>
        <w:tc>
          <w:tcPr>
            <w:tcW w:type="dxa" w:w="3120"/>
            <w:tcBorders>
              <w:top w:val="single" w:color="AAAAAA" w:sz="1"/>
              <w:left w:val="single" w:color="AAAAAA" w:sz="1"/>
              <w:bottom w:val="single" w:color="AAAAAA" w:sz="1"/>
              <w:right w:val="single" w:color="AAAAAA" w:sz="1"/>
            </w:tcBorders>
            <w:shd w:fill="D9D9D9"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Доля %</w:t>
            </w:r>
          </w:p>
        </w:tc>
      </w:tr>
      <w:tr>
        <w:tc>
          <w:tcPr>
            <w:tcW w:type="dxa" w:w="234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EMEA</w:t>
            </w:r>
          </w:p>
        </w:tc>
        <w:tc>
          <w:tcPr>
            <w:tcW w:type="dxa" w:w="3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$4 979 272.41</w:t>
            </w:r>
          </w:p>
        </w:tc>
        <w:tc>
          <w:tcPr>
            <w:tcW w:type="dxa" w:w="312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49.63%</w:t>
            </w:r>
          </w:p>
        </w:tc>
      </w:tr>
      <w:tr>
        <w:tc>
          <w:tcPr>
            <w:tcW w:type="dxa" w:w="234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Не указана</w:t>
            </w:r>
          </w:p>
        </w:tc>
        <w:tc>
          <w:tcPr>
            <w:tcW w:type="dxa" w:w="3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$3 852 061.39</w:t>
            </w:r>
          </w:p>
        </w:tc>
        <w:tc>
          <w:tcPr>
            <w:tcW w:type="dxa" w:w="312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38.40%</w:t>
            </w:r>
          </w:p>
        </w:tc>
      </w:tr>
      <w:tr>
        <w:tc>
          <w:tcPr>
            <w:tcW w:type="dxa" w:w="234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APAC</w:t>
            </w:r>
          </w:p>
        </w:tc>
        <w:tc>
          <w:tcPr>
            <w:tcW w:type="dxa" w:w="3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$746 121.83</w:t>
            </w:r>
          </w:p>
        </w:tc>
        <w:tc>
          <w:tcPr>
            <w:tcW w:type="dxa" w:w="312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7.44%</w:t>
            </w:r>
          </w:p>
        </w:tc>
      </w:tr>
      <w:tr>
        <w:tc>
          <w:tcPr>
            <w:tcW w:type="dxa" w:w="234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Japan</w:t>
            </w:r>
          </w:p>
        </w:tc>
        <w:tc>
          <w:tcPr>
            <w:tcW w:type="dxa" w:w="3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$455 173.22</w:t>
            </w:r>
          </w:p>
        </w:tc>
        <w:tc>
          <w:tcPr>
            <w:tcW w:type="dxa" w:w="312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4.54%</w:t>
            </w:r>
          </w:p>
        </w:tc>
      </w:tr>
    </w:tbl>
    <w:p>
      <w:r>
        <w:t xml:space="preserve"/>
      </w:r>
    </w:p>
    <w:p>
      <w:pPr>
        <w:pStyle w:val="Heading1"/>
        <w:spacing w:after="160" w:before="320"/>
      </w:pPr>
      <w:r>
        <w:rPr>
          <w:rFonts w:ascii="Arial" w:cs="Arial" w:eastAsia="Arial" w:hAnsi="Arial"/>
          <w:b/>
          <w:bCs/>
          <w:sz w:val="28"/>
          <w:szCs w:val="28"/>
        </w:rPr>
        <w:t xml:space="preserve">6. Анализ клиентской базы</w:t>
      </w:r>
    </w:p>
    <w:p>
      <w:pPr>
        <w:spacing w:after="80" w:before="80"/>
      </w:pPr>
      <w:r>
        <w:rPr>
          <w:rFonts w:ascii="Arial" w:cs="Arial" w:eastAsia="Arial" w:hAnsi="Arial"/>
          <w:sz w:val="22"/>
          <w:szCs w:val="22"/>
        </w:rPr>
        <w:t xml:space="preserve">Топ-5 клиентов по совокупной выручке представлен ниже. Явным лидером является Diego Freyre с выручкой более 912 тысяч долларов, что составляет около 9% от общей выручки магазина. Высокая концентрация продаж на одном клиенте несёт риск зависимости — потеря этого клиента ощутимо скажется на показателях.</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680"/>
        <w:gridCol w:w="3900"/>
      </w:tblGrid>
      <w:tr>
        <w:tc>
          <w:tcPr>
            <w:tcW w:type="dxa" w:w="780"/>
            <w:tcBorders>
              <w:top w:val="single" w:color="AAAAAA" w:sz="1"/>
              <w:left w:val="single" w:color="AAAAAA" w:sz="1"/>
              <w:bottom w:val="single" w:color="AAAAAA" w:sz="1"/>
              <w:right w:val="single" w:color="AAAAAA" w:sz="1"/>
            </w:tcBorders>
            <w:shd w:fill="D9D9D9"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w:t>
            </w:r>
          </w:p>
        </w:tc>
        <w:tc>
          <w:tcPr>
            <w:tcW w:type="dxa" w:w="4680"/>
            <w:tcBorders>
              <w:top w:val="single" w:color="AAAAAA" w:sz="1"/>
              <w:left w:val="single" w:color="AAAAAA" w:sz="1"/>
              <w:bottom w:val="single" w:color="AAAAAA" w:sz="1"/>
              <w:right w:val="single" w:color="AAAAAA" w:sz="1"/>
            </w:tcBorders>
            <w:shd w:fill="D9D9D9"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Клиент</w:t>
            </w:r>
          </w:p>
        </w:tc>
        <w:tc>
          <w:tcPr>
            <w:tcW w:type="dxa" w:w="3900"/>
            <w:tcBorders>
              <w:top w:val="single" w:color="AAAAAA" w:sz="1"/>
              <w:left w:val="single" w:color="AAAAAA" w:sz="1"/>
              <w:bottom w:val="single" w:color="AAAAAA" w:sz="1"/>
              <w:right w:val="single" w:color="AAAAAA" w:sz="1"/>
            </w:tcBorders>
            <w:shd w:fill="D9D9D9"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Выручка</w:t>
            </w:r>
          </w:p>
        </w:tc>
      </w:tr>
      <w:tr>
        <w:tc>
          <w:tcPr>
            <w:tcW w:type="dxa" w:w="78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1</w:t>
            </w:r>
          </w:p>
        </w:tc>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Diego Freyre</w:t>
            </w:r>
          </w:p>
        </w:tc>
        <w:tc>
          <w:tcPr>
            <w:tcW w:type="dxa" w:w="3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$912 294.11</w:t>
            </w:r>
          </w:p>
        </w:tc>
      </w:tr>
      <w:tr>
        <w:tc>
          <w:tcPr>
            <w:tcW w:type="dxa" w:w="78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2</w:t>
            </w:r>
          </w:p>
        </w:tc>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Valarie Nelson</w:t>
            </w:r>
          </w:p>
        </w:tc>
        <w:tc>
          <w:tcPr>
            <w:tcW w:type="dxa" w:w="3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$654 858.06</w:t>
            </w:r>
          </w:p>
        </w:tc>
      </w:tr>
      <w:tr>
        <w:tc>
          <w:tcPr>
            <w:tcW w:type="dxa" w:w="78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3</w:t>
            </w:r>
          </w:p>
        </w:tc>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Peter Ferguson</w:t>
            </w:r>
          </w:p>
        </w:tc>
        <w:tc>
          <w:tcPr>
            <w:tcW w:type="dxa" w:w="3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$200 995.41</w:t>
            </w:r>
          </w:p>
        </w:tc>
      </w:tr>
      <w:tr>
        <w:tc>
          <w:tcPr>
            <w:tcW w:type="dxa" w:w="78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4</w:t>
            </w:r>
          </w:p>
        </w:tc>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Jeff Young</w:t>
            </w:r>
          </w:p>
        </w:tc>
        <w:tc>
          <w:tcPr>
            <w:tcW w:type="dxa" w:w="3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$197 736.94</w:t>
            </w:r>
          </w:p>
        </w:tc>
      </w:tr>
      <w:tr>
        <w:tc>
          <w:tcPr>
            <w:tcW w:type="dxa" w:w="78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5</w:t>
            </w:r>
          </w:p>
        </w:tc>
        <w:tc>
          <w:tcPr>
            <w:tcW w:type="dxa" w:w="468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Janine Labrune</w:t>
            </w:r>
          </w:p>
        </w:tc>
        <w:tc>
          <w:tcPr>
            <w:tcW w:type="dxa" w:w="3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$180 124.90</w:t>
            </w:r>
          </w:p>
        </w:tc>
      </w:tr>
    </w:tbl>
    <w:p>
      <w:r>
        <w:t xml:space="preserve"/>
      </w:r>
    </w:p>
    <w:p>
      <w:pPr>
        <w:pStyle w:val="Heading1"/>
        <w:spacing w:after="160" w:before="320"/>
      </w:pPr>
      <w:r>
        <w:rPr>
          <w:rFonts w:ascii="Arial" w:cs="Arial" w:eastAsia="Arial" w:hAnsi="Arial"/>
          <w:b/>
          <w:bCs/>
          <w:sz w:val="28"/>
          <w:szCs w:val="28"/>
        </w:rPr>
        <w:t xml:space="preserve">7. Структура сделок по размеру</w:t>
      </w:r>
    </w:p>
    <w:p>
      <w:pPr>
        <w:spacing w:after="80" w:before="80"/>
      </w:pPr>
      <w:r>
        <w:rPr>
          <w:rFonts w:ascii="Arial" w:cs="Arial" w:eastAsia="Arial" w:hAnsi="Arial"/>
          <w:sz w:val="22"/>
          <w:szCs w:val="22"/>
        </w:rPr>
        <w:t xml:space="preserve">Основу бизнеса составляют сделки среднего размера (Medium), генерирующие более 60% выручки при 292 заказах. Крупные сделки (Large) при небольшом количестве заказов (119) дают 13% выручки, что подтверждает их высокую ценность для магазина.</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560"/>
        <w:gridCol w:w="2340"/>
      </w:tblGrid>
      <w:tr>
        <w:tc>
          <w:tcPr>
            <w:tcW w:type="dxa" w:w="2340"/>
            <w:tcBorders>
              <w:top w:val="single" w:color="AAAAAA" w:sz="1"/>
              <w:left w:val="single" w:color="AAAAAA" w:sz="1"/>
              <w:bottom w:val="single" w:color="AAAAAA" w:sz="1"/>
              <w:right w:val="single" w:color="AAAAAA" w:sz="1"/>
            </w:tcBorders>
            <w:shd w:fill="D9D9D9"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Размер сделки</w:t>
            </w:r>
          </w:p>
        </w:tc>
        <w:tc>
          <w:tcPr>
            <w:tcW w:type="dxa" w:w="3120"/>
            <w:tcBorders>
              <w:top w:val="single" w:color="AAAAAA" w:sz="1"/>
              <w:left w:val="single" w:color="AAAAAA" w:sz="1"/>
              <w:bottom w:val="single" w:color="AAAAAA" w:sz="1"/>
              <w:right w:val="single" w:color="AAAAAA" w:sz="1"/>
            </w:tcBorders>
            <w:shd w:fill="D9D9D9"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Выручка</w:t>
            </w:r>
          </w:p>
        </w:tc>
        <w:tc>
          <w:tcPr>
            <w:tcW w:type="dxa" w:w="1560"/>
            <w:tcBorders>
              <w:top w:val="single" w:color="AAAAAA" w:sz="1"/>
              <w:left w:val="single" w:color="AAAAAA" w:sz="1"/>
              <w:bottom w:val="single" w:color="AAAAAA" w:sz="1"/>
              <w:right w:val="single" w:color="AAAAAA" w:sz="1"/>
            </w:tcBorders>
            <w:shd w:fill="D9D9D9"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Заказов</w:t>
            </w:r>
          </w:p>
        </w:tc>
        <w:tc>
          <w:tcPr>
            <w:tcW w:type="dxa" w:w="2340"/>
            <w:tcBorders>
              <w:top w:val="single" w:color="AAAAAA" w:sz="1"/>
              <w:left w:val="single" w:color="AAAAAA" w:sz="1"/>
              <w:bottom w:val="single" w:color="AAAAAA" w:sz="1"/>
              <w:right w:val="single" w:color="AAAAAA" w:sz="1"/>
            </w:tcBorders>
            <w:shd w:fill="D9D9D9"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Доля %</w:t>
            </w:r>
          </w:p>
        </w:tc>
      </w:tr>
      <w:tr>
        <w:tc>
          <w:tcPr>
            <w:tcW w:type="dxa" w:w="234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Medium</w:t>
            </w:r>
          </w:p>
        </w:tc>
        <w:tc>
          <w:tcPr>
            <w:tcW w:type="dxa" w:w="312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$6 087 432.24</w:t>
            </w:r>
          </w:p>
        </w:tc>
        <w:tc>
          <w:tcPr>
            <w:tcW w:type="dxa" w:w="156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292</w:t>
            </w:r>
          </w:p>
        </w:tc>
        <w:tc>
          <w:tcPr>
            <w:tcW w:type="dxa" w:w="234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60.68%</w:t>
            </w:r>
          </w:p>
        </w:tc>
      </w:tr>
      <w:tr>
        <w:tc>
          <w:tcPr>
            <w:tcW w:type="dxa" w:w="234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Small</w:t>
            </w:r>
          </w:p>
        </w:tc>
        <w:tc>
          <w:tcPr>
            <w:tcW w:type="dxa" w:w="312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$2 643 077.35</w:t>
            </w:r>
          </w:p>
        </w:tc>
        <w:tc>
          <w:tcPr>
            <w:tcW w:type="dxa" w:w="156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287</w:t>
            </w:r>
          </w:p>
        </w:tc>
        <w:tc>
          <w:tcPr>
            <w:tcW w:type="dxa" w:w="234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26.34%</w:t>
            </w:r>
          </w:p>
        </w:tc>
      </w:tr>
      <w:tr>
        <w:tc>
          <w:tcPr>
            <w:tcW w:type="dxa" w:w="234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left"/>
            </w:pPr>
            <w:r>
              <w:rPr>
                <w:rFonts w:ascii="Arial" w:cs="Arial" w:eastAsia="Arial" w:hAnsi="Arial"/>
                <w:sz w:val="20"/>
                <w:szCs w:val="20"/>
              </w:rPr>
              <w:t xml:space="preserve">Large</w:t>
            </w:r>
          </w:p>
        </w:tc>
        <w:tc>
          <w:tcPr>
            <w:tcW w:type="dxa" w:w="312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right"/>
            </w:pPr>
            <w:r>
              <w:rPr>
                <w:rFonts w:ascii="Arial" w:cs="Arial" w:eastAsia="Arial" w:hAnsi="Arial"/>
                <w:sz w:val="20"/>
                <w:szCs w:val="20"/>
              </w:rPr>
              <w:t xml:space="preserve">$1 302 119.26</w:t>
            </w:r>
          </w:p>
        </w:tc>
        <w:tc>
          <w:tcPr>
            <w:tcW w:type="dxa" w:w="156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119</w:t>
            </w:r>
          </w:p>
        </w:tc>
        <w:tc>
          <w:tcPr>
            <w:tcW w:type="dxa" w:w="234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jc w:val="center"/>
            </w:pPr>
            <w:r>
              <w:rPr>
                <w:rFonts w:ascii="Arial" w:cs="Arial" w:eastAsia="Arial" w:hAnsi="Arial"/>
                <w:sz w:val="20"/>
                <w:szCs w:val="20"/>
              </w:rPr>
              <w:t xml:space="preserve">12.98%</w:t>
            </w:r>
          </w:p>
        </w:tc>
      </w:tr>
    </w:tbl>
    <w:p>
      <w:r>
        <w:t xml:space="preserve"/>
      </w:r>
    </w:p>
    <w:p>
      <w:pPr>
        <w:pStyle w:val="Heading1"/>
        <w:spacing w:after="160" w:before="320"/>
      </w:pPr>
      <w:r>
        <w:rPr>
          <w:rFonts w:ascii="Arial" w:cs="Arial" w:eastAsia="Arial" w:hAnsi="Arial"/>
          <w:b/>
          <w:bCs/>
          <w:sz w:val="28"/>
          <w:szCs w:val="28"/>
        </w:rPr>
        <w:t xml:space="preserve">8. Выводы и рекомендации</w:t>
      </w:r>
    </w:p>
    <w:p>
      <w:pPr>
        <w:spacing w:after="80" w:before="80"/>
      </w:pPr>
      <w:r>
        <w:rPr>
          <w:rFonts w:ascii="Arial" w:cs="Arial" w:eastAsia="Arial" w:hAnsi="Arial"/>
          <w:sz w:val="22"/>
          <w:szCs w:val="22"/>
        </w:rPr>
        <w:t xml:space="preserve">На основе проведённого анализа можно сформулировать следующие выводы:</w:t>
      </w:r>
    </w:p>
    <w:p>
      <w:r>
        <w:t xml:space="preserve"/>
      </w:r>
    </w:p>
    <w:p>
      <w:pPr>
        <w:spacing w:after="80" w:before="80"/>
      </w:pPr>
      <w:r>
        <w:rPr>
          <w:rFonts w:ascii="Arial" w:cs="Arial" w:eastAsia="Arial" w:hAnsi="Arial"/>
          <w:sz w:val="22"/>
          <w:szCs w:val="22"/>
        </w:rPr>
        <w:t xml:space="preserve">1. Сезонность. Октябрь и ноябрь — критически важные месяцы, формирующие до 30% годовой выручки. Необходимо заблаговременно наращивать запасы и проводить маркетинговые активности в этот период.</w:t>
      </w:r>
    </w:p>
    <w:p>
      <w:r>
        <w:t xml:space="preserve"/>
      </w:r>
    </w:p>
    <w:p>
      <w:pPr>
        <w:spacing w:after="80" w:before="80"/>
      </w:pPr>
      <w:r>
        <w:rPr>
          <w:rFonts w:ascii="Arial" w:cs="Arial" w:eastAsia="Arial" w:hAnsi="Arial"/>
          <w:sz w:val="22"/>
          <w:szCs w:val="22"/>
        </w:rPr>
        <w:t xml:space="preserve">2. Концентрация на категории. Classic Cars и Vintage Cars дают почти 58% выручки. Расширение ассортимента и специальные предложения именно в этих категориях дадут наибольший эффект.</w:t>
      </w:r>
    </w:p>
    <w:p>
      <w:r>
        <w:t xml:space="preserve"/>
      </w:r>
    </w:p>
    <w:p>
      <w:pPr>
        <w:spacing w:after="80" w:before="80"/>
      </w:pPr>
      <w:r>
        <w:rPr>
          <w:rFonts w:ascii="Arial" w:cs="Arial" w:eastAsia="Arial" w:hAnsi="Arial"/>
          <w:sz w:val="22"/>
          <w:szCs w:val="22"/>
        </w:rPr>
        <w:t xml:space="preserve">3. Географический рост. Рынки APAC и Японии остаются недостаточно развитыми — суммарная доля менее 12%. Развитие продаж в этих регионах представляет значительный потенциал для роста.</w:t>
      </w:r>
    </w:p>
    <w:p>
      <w:r>
        <w:t xml:space="preserve"/>
      </w:r>
    </w:p>
    <w:p>
      <w:pPr>
        <w:spacing w:after="80" w:before="80"/>
      </w:pPr>
      <w:r>
        <w:rPr>
          <w:rFonts w:ascii="Arial" w:cs="Arial" w:eastAsia="Arial" w:hAnsi="Arial"/>
          <w:sz w:val="22"/>
          <w:szCs w:val="22"/>
        </w:rPr>
        <w:t xml:space="preserve">4. Клиентская зависимость. Высокая концентрация выручки на одном клиенте (Diego Freyre — 9%) создаёт риски. Рекомендуется диверсификация клиентской базы и развитие программ лояльности для клиентов второго и третьего уровней.</w:t>
      </w:r>
    </w:p>
    <w:p>
      <w:r>
        <w:t xml:space="preserve"/>
      </w:r>
    </w:p>
    <w:p>
      <w:pPr>
        <w:spacing w:after="80" w:before="80"/>
      </w:pPr>
      <w:r>
        <w:rPr>
          <w:rFonts w:ascii="Arial" w:cs="Arial" w:eastAsia="Arial" w:hAnsi="Arial"/>
          <w:sz w:val="22"/>
          <w:szCs w:val="22"/>
        </w:rPr>
        <w:t xml:space="preserve">5. Данные за 2005 год охватывают только 5 месяцев, поэтому прямое сравнение с предыдущими годами некорректно. Для полноценного анализа необходимы данные за весь 2005 год.</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2026-05-17T05:30:47.098Z</dcterms:created>
  <dcterms:modified xsi:type="dcterms:W3CDTF">2026-05-17T05:30:47.098Z</dcterms:modified>
</cp:coreProperties>
</file>

<file path=docProps/custom.xml><?xml version="1.0" encoding="utf-8"?>
<Properties xmlns="http://schemas.openxmlformats.org/officeDocument/2006/custom-properties" xmlns:vt="http://schemas.openxmlformats.org/officeDocument/2006/docPropsVTypes"/>
</file>