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sz w:val="36"/>
        </w:rPr>
        <w:t>智能驾驶车道区域二分类感知实验报告</w:t>
      </w:r>
    </w:p>
    <w:p>
      <w:pPr>
        <w:jc w:val="center"/>
      </w:pPr>
      <w:r>
        <w:rPr>
          <w:rFonts w:ascii="宋体" w:hAnsi="宋体" w:eastAsia="宋体"/>
          <w:sz w:val="22"/>
        </w:rPr>
        <w:t>基于前视图像 ROI 的 in_lane / out_lane 分类模型</w:t>
      </w:r>
    </w:p>
    <w:p>
      <w:pPr>
        <w:spacing w:line="300" w:lineRule="auto"/>
      </w:pPr>
      <w:r>
        <w:rPr>
          <w:rFonts w:ascii="宋体" w:hAnsi="宋体" w:eastAsia="宋体"/>
          <w:sz w:val="21"/>
        </w:rPr>
        <w:t>说明：本文档为当前阶段实验报告正式版。实验已完成 Toy 数据集流程验证，并基于 TuSimple 开源车道线数据集完成真实数据训练、测试、TensorBoard 记录、ONNX 导出和 ONNX Runtime 推理验证。</w:t>
      </w:r>
    </w:p>
    <w:p>
      <w:pPr>
        <w:pStyle w:val="Heading1"/>
        <w:jc w:val="left"/>
      </w:pPr>
      <w:r>
        <w:rPr>
          <w:rFonts w:ascii="黑体" w:hAnsi="黑体" w:eastAsia="黑体"/>
          <w:sz w:val="28"/>
        </w:rPr>
        <w:t>一、实验目的</w:t>
      </w:r>
    </w:p>
    <w:p>
      <w:pPr>
        <w:spacing w:line="300" w:lineRule="auto"/>
        <w:ind w:firstLine="420"/>
      </w:pPr>
      <w:r>
        <w:rPr>
          <w:rFonts w:ascii="宋体" w:hAnsi="宋体" w:eastAsia="宋体"/>
          <w:sz w:val="21"/>
        </w:rPr>
        <w:t>本实验面向智能驾驶感知中的基础决策场景，设计并实现一个车道区域二分类模型。模型输入车载前视图像中的局部感兴趣区域 ROI，输出该区域属于“车道内”还是“车道外”。该任务不追求精确拟合车道线几何形状，而是验证在自动驾驶感知流程中，基于局部视觉信息快速判断车辆当前位置是否处于目标车道区域内的可行性。</w:t>
      </w:r>
    </w:p>
    <w:p>
      <w:pPr>
        <w:spacing w:line="300" w:lineRule="auto"/>
        <w:ind w:firstLine="420"/>
      </w:pPr>
      <w:r>
        <w:rPr>
          <w:rFonts w:ascii="宋体" w:hAnsi="宋体" w:eastAsia="宋体"/>
          <w:sz w:val="21"/>
        </w:rPr>
        <w:t>实验目标包括：构建轻量级深度学习二分类模型；基于开源车道线数据集 TuSimple 设计 ROI 数据转换方案；实现训练、验证、TensorBoard 可视化、ONNX 导出和 ONNX Runtime 推理；分析模型方案的优缺点，并为后续真实数据训练和部署优化提供基础。</w:t>
      </w:r>
    </w:p>
    <w:p>
      <w:pPr>
        <w:pStyle w:val="Heading1"/>
        <w:jc w:val="left"/>
      </w:pPr>
      <w:r>
        <w:rPr>
          <w:rFonts w:ascii="黑体" w:hAnsi="黑体" w:eastAsia="黑体"/>
          <w:sz w:val="28"/>
        </w:rPr>
        <w:t>二、实验原理</w:t>
      </w:r>
    </w:p>
    <w:p>
      <w:pPr>
        <w:pStyle w:val="Heading2"/>
        <w:jc w:val="left"/>
      </w:pPr>
      <w:r>
        <w:rPr>
          <w:rFonts w:ascii="黑体" w:hAnsi="黑体" w:eastAsia="黑体"/>
          <w:sz w:val="24"/>
        </w:rPr>
        <w:t>2.1 ROI 感兴趣区域</w:t>
      </w:r>
    </w:p>
    <w:p>
      <w:pPr>
        <w:spacing w:line="300" w:lineRule="auto"/>
        <w:ind w:firstLine="420"/>
      </w:pPr>
      <w:r>
        <w:rPr>
          <w:rFonts w:ascii="宋体" w:hAnsi="宋体" w:eastAsia="宋体"/>
          <w:sz w:val="21"/>
        </w:rPr>
        <w:t>ROI 是 Region of Interest 的缩写，中文通常称为“感兴趣区域”。在车载前视图像中，整张图像包含天空、道路、车辆、路边建筑和远处背景等大量信息，但本实验真正关心的是车辆前方与当前车道相关的道路区域。因此，先从原始图像中裁剪出车辆前方道路局部区域，可以减少无关背景干扰，降低输入尺寸，并让模型更集中地学习车道线、路面边界和车道中心偏移等视觉线索。</w:t>
      </w:r>
    </w:p>
    <w:p>
      <w:pPr>
        <w:spacing w:line="300" w:lineRule="auto"/>
        <w:ind w:firstLine="420"/>
      </w:pPr>
      <w:r>
        <w:rPr>
          <w:rFonts w:ascii="宋体" w:hAnsi="宋体" w:eastAsia="宋体"/>
          <w:sz w:val="21"/>
        </w:rPr>
        <w:t>在 TuSimple 数据转换阶段，脚本会根据标注的车道线坐标估计当前车道中心。以当前车道中心为基准裁剪得到的 ROI 作为正样本 in_lane；向左或向右偏移裁剪得到的 ROI 作为负样本 out_lane。这样可以把原始车道线检测数据转换成适合图像分类训练的二分类数据集。</w:t>
      </w:r>
    </w:p>
    <w:p>
      <w:pPr>
        <w:pStyle w:val="Heading2"/>
        <w:jc w:val="left"/>
      </w:pPr>
      <w:r>
        <w:rPr>
          <w:rFonts w:ascii="黑体" w:hAnsi="黑体" w:eastAsia="黑体"/>
          <w:sz w:val="24"/>
        </w:rPr>
        <w:t>2.2 TuSimple 标注与二分类转换</w:t>
      </w:r>
    </w:p>
    <w:p>
      <w:pPr>
        <w:spacing w:line="300" w:lineRule="auto"/>
        <w:ind w:firstLine="420"/>
      </w:pPr>
      <w:r>
        <w:rPr>
          <w:rFonts w:ascii="宋体" w:hAnsi="宋体" w:eastAsia="宋体"/>
          <w:sz w:val="21"/>
        </w:rPr>
        <w:t>TuSimple 原始任务是车道线检测，标注文件采用 JSON Lines 格式。每一行对应一张图像，主要包含 raw_file、lanes 和 h_samples 等字段。其中 raw_file 表示图片路径，h_samples 表示若干固定的 y 坐标，lanes 中的每一组 x 坐标表示某条车道线在这些 y 坐标上的位置。x 值为 -2 时表示该位置没有有效车道线点。</w:t>
      </w:r>
    </w:p>
    <w:p>
      <w:pPr>
        <w:spacing w:line="300" w:lineRule="auto"/>
        <w:ind w:firstLine="420"/>
      </w:pPr>
      <w:r>
        <w:rPr>
          <w:rFonts w:ascii="宋体" w:hAnsi="宋体" w:eastAsia="宋体"/>
          <w:sz w:val="21"/>
        </w:rPr>
        <w:t>本实验的任务不是直接预测车道线坐标，而是判断局部 ROI 是否位于车道区域内。因此需要利用 TuSimple 的车道线坐标估计当前车道中心，再生成 ImageFolder 风格的二分类数据目录：train/in_lane、train/out_lane、val/in_lane、val/out_lane。</w:t>
      </w:r>
    </w:p>
    <w:p>
      <w:pPr>
        <w:spacing w:before="60" w:after="120"/>
        <w:ind w:left="360"/>
      </w:pPr>
      <w:r>
        <w:rPr>
          <w:rFonts w:ascii="Consolas" w:hAnsi="Consolas" w:eastAsia="Consolas"/>
          <w:sz w:val="17"/>
        </w:rPr>
        <w:t>def estimate_lane_center(record: dict, image_width: int, y_ref: int) -&gt; int | None:</w:t>
        <w:br/>
        <w:t xml:space="preserve">    xs = []</w:t>
        <w:br/>
        <w:t xml:space="preserve">    for lane in record["lanes"]:</w:t>
        <w:br/>
        <w:t xml:space="preserve">        x = lane_x_at_y(lane, record["h_samples"], y_ref)</w:t>
        <w:br/>
        <w:t xml:space="preserve">        if x is not None:</w:t>
        <w:br/>
        <w:t xml:space="preserve">            xs.append(x)</w:t>
        <w:br/>
        <w:t xml:space="preserve">    xs = sorted(set(xs))</w:t>
        <w:br/>
        <w:t xml:space="preserve">    if len(xs) &lt; 2:</w:t>
        <w:br/>
        <w:t xml:space="preserve">        return None</w:t>
        <w:br/>
        <w:br/>
        <w:t xml:space="preserve">    image_center = image_width / 2</w:t>
        <w:br/>
        <w:t xml:space="preserve">    left = [x for x in xs if x &lt; image_center]</w:t>
        <w:br/>
        <w:t xml:space="preserve">    right = [x for x in xs if x &gt; image_center]</w:t>
        <w:br/>
        <w:t xml:space="preserve">    if not left or not right:</w:t>
        <w:br/>
        <w:t xml:space="preserve">        return None</w:t>
        <w:br/>
        <w:t xml:space="preserve">    return int((max(left) + min(right)) / 2)</w:t>
      </w:r>
    </w:p>
    <w:p>
      <w:pPr>
        <w:pStyle w:val="Heading2"/>
        <w:jc w:val="left"/>
      </w:pPr>
      <w:r>
        <w:rPr>
          <w:rFonts w:ascii="黑体" w:hAnsi="黑体" w:eastAsia="黑体"/>
          <w:sz w:val="24"/>
        </w:rPr>
        <w:t>2.3 模型结构</w:t>
      </w:r>
    </w:p>
    <w:p>
      <w:pPr>
        <w:spacing w:line="300" w:lineRule="auto"/>
        <w:ind w:firstLine="420"/>
      </w:pPr>
      <w:r>
        <w:rPr>
          <w:rFonts w:ascii="宋体" w:hAnsi="宋体" w:eastAsia="宋体"/>
          <w:sz w:val="21"/>
        </w:rPr>
        <w:t>本实验采用轻量级卷积神经网络 LaneBinaryNet。模型由 4 个卷积块组成，每个卷积块包含 Conv2d、BatchNorm、ReLU 和 MaxPool，用于逐层提取车道线边缘、路面纹理和局部空间结构特征。随后使用 Adaptive Average Pooling 将空间特征压缩为向量，再经过 Dropout 和 Linear 层输出一个 logit。</w:t>
      </w:r>
    </w:p>
    <w:p>
      <w:pPr>
        <w:spacing w:line="300" w:lineRule="auto"/>
        <w:ind w:firstLine="420"/>
      </w:pPr>
      <w:r>
        <w:rPr>
          <w:rFonts w:ascii="宋体" w:hAnsi="宋体" w:eastAsia="宋体"/>
          <w:sz w:val="21"/>
        </w:rPr>
        <w:t>模型输出不是直接的类别，而是一个实数 logit。推理时使用 sigmoid 函数将 logit 转换为属于 in_lane 的概率。当概率大于等于 0.5 时判定为 in_lane，否则判定为 out_lane。</w:t>
      </w:r>
    </w:p>
    <w:p>
      <w:pPr>
        <w:spacing w:before="60" w:after="120"/>
        <w:ind w:left="360"/>
      </w:pPr>
      <w:r>
        <w:rPr>
          <w:rFonts w:ascii="Consolas" w:hAnsi="Consolas" w:eastAsia="Consolas"/>
          <w:sz w:val="17"/>
        </w:rPr>
        <w:t>class LaneBinaryNet(nn.Module):</w:t>
        <w:br/>
        <w:t xml:space="preserve">    def __init__(self, dropout: float = 0.25) -&gt; None:</w:t>
        <w:br/>
        <w:t xml:space="preserve">        super().__init__()</w:t>
        <w:br/>
        <w:t xml:space="preserve">        self.features = nn.Sequential(</w:t>
        <w:br/>
        <w:t xml:space="preserve">            ConvBlock(3, 24),</w:t>
        <w:br/>
        <w:t xml:space="preserve">            ConvBlock(24, 48),</w:t>
        <w:br/>
        <w:t xml:space="preserve">            ConvBlock(48, 96),</w:t>
        <w:br/>
        <w:t xml:space="preserve">            ConvBlock(96, 128),</w:t>
        <w:br/>
        <w:t xml:space="preserve">        )</w:t>
        <w:br/>
        <w:t xml:space="preserve">        self.classifier = nn.Sequential(</w:t>
        <w:br/>
        <w:t xml:space="preserve">            nn.AdaptiveAvgPool2d((1, 1)),</w:t>
        <w:br/>
        <w:t xml:space="preserve">            nn.Flatten(),</w:t>
        <w:br/>
        <w:t xml:space="preserve">            nn.Dropout(p=dropout),</w:t>
        <w:br/>
        <w:t xml:space="preserve">            nn.Linear(128, 1),</w:t>
        <w:br/>
        <w:t xml:space="preserve">        )</w:t>
        <w:br/>
        <w:br/>
        <w:t xml:space="preserve">    def forward(self, x: torch.Tensor) -&gt; torch.Tensor:</w:t>
        <w:br/>
        <w:t xml:space="preserve">        logits = self.classifier(self.features(x))</w:t>
        <w:br/>
        <w:t xml:space="preserve">        return logits.squeeze(1)</w:t>
      </w:r>
    </w:p>
    <w:p>
      <w:pPr>
        <w:pStyle w:val="Heading2"/>
        <w:jc w:val="left"/>
      </w:pPr>
      <w:r>
        <w:rPr>
          <w:rFonts w:ascii="黑体" w:hAnsi="黑体" w:eastAsia="黑体"/>
          <w:sz w:val="24"/>
        </w:rPr>
        <w:t>2.4 损失函数与评价指标</w:t>
      </w:r>
    </w:p>
    <w:p>
      <w:pPr>
        <w:spacing w:line="300" w:lineRule="auto"/>
        <w:ind w:firstLine="420"/>
      </w:pPr>
      <w:r>
        <w:rPr>
          <w:rFonts w:ascii="宋体" w:hAnsi="宋体" w:eastAsia="宋体"/>
          <w:sz w:val="21"/>
        </w:rPr>
        <w:t>训练阶段使用 BCEWithLogitsLoss 作为损失函数。该损失函数内部结合了 sigmoid 与二元交叉熵，相比手动先 sigmoid 再计算损失具有更好的数值稳定性。评价指标包括准确率 accuracy、精确率 precision、召回率 recall 和 F1 分数。其中 F1 分数综合考虑 precision 与 recall，适合在类别数量可能不完全均衡时作为主要模型选择指标。</w:t>
      </w:r>
    </w:p>
    <w:p>
      <w:pPr>
        <w:spacing w:before="60" w:after="120"/>
        <w:ind w:left="360"/>
      </w:pPr>
      <w:r>
        <w:rPr>
          <w:rFonts w:ascii="Consolas" w:hAnsi="Consolas" w:eastAsia="Consolas"/>
          <w:sz w:val="17"/>
        </w:rPr>
        <w:t>criterion = nn.BCEWithLogitsLoss()</w:t>
        <w:br/>
        <w:br/>
        <w:t>probs = torch.sigmoid(logits)</w:t>
        <w:br/>
        <w:t>preds = (probs &gt;= 0.5).long()</w:t>
        <w:br/>
        <w:t>precision = tp / max(tp + fp, 1)</w:t>
        <w:br/>
        <w:t>recall = tp / max(tp + fn, 1)</w:t>
        <w:br/>
        <w:t>f1 = 2 * precision * recall / max(precision + recall, 1e-12)</w:t>
      </w:r>
    </w:p>
    <w:p>
      <w:pPr>
        <w:pStyle w:val="Heading2"/>
        <w:jc w:val="left"/>
      </w:pPr>
      <w:r>
        <w:rPr>
          <w:rFonts w:ascii="黑体" w:hAnsi="黑体" w:eastAsia="黑体"/>
          <w:sz w:val="24"/>
        </w:rPr>
        <w:t>2.5 数据增强</w:t>
      </w:r>
    </w:p>
    <w:p>
      <w:pPr>
        <w:spacing w:line="300" w:lineRule="auto"/>
        <w:ind w:firstLine="420"/>
      </w:pPr>
      <w:r>
        <w:rPr>
          <w:rFonts w:ascii="宋体" w:hAnsi="宋体" w:eastAsia="宋体"/>
          <w:sz w:val="21"/>
        </w:rPr>
        <w:t>为提高模型泛化能力，训练集在读取图像时加入了简单增强，包括水平翻转、亮度扰动和对比度扰动。水平翻转可以模拟左右车道位置变化；亮度与对比度增强可以模拟不同光照条件。验证集不使用增强，以保证评估结果稳定。</w:t>
      </w:r>
    </w:p>
    <w:p>
      <w:pPr>
        <w:spacing w:before="60" w:after="120"/>
        <w:ind w:left="360"/>
      </w:pPr>
      <w:r>
        <w:rPr>
          <w:rFonts w:ascii="Consolas" w:hAnsi="Consolas" w:eastAsia="Consolas"/>
          <w:sz w:val="17"/>
        </w:rPr>
        <w:t>if random.random() &lt; 0.5:</w:t>
        <w:br/>
        <w:t xml:space="preserve">    image = image.transpose(Image.FLIP_LEFT_RIGHT)</w:t>
        <w:br/>
        <w:t>if random.random() &lt; 0.8:</w:t>
        <w:br/>
        <w:t xml:space="preserve">    factor = random.uniform(0.65, 1.35)</w:t>
        <w:br/>
        <w:t xml:space="preserve">    image = ImageEnhance.Brightness(image).enhance(factor)</w:t>
        <w:br/>
        <w:t>if random.random() &lt; 0.3:</w:t>
        <w:br/>
        <w:t xml:space="preserve">    factor = random.uniform(0.8, 1.2)</w:t>
        <w:br/>
        <w:t xml:space="preserve">    image = ImageEnhance.Contrast(image).enhance(factor)</w:t>
      </w:r>
    </w:p>
    <w:p>
      <w:pPr>
        <w:pStyle w:val="Heading1"/>
        <w:jc w:val="left"/>
      </w:pPr>
      <w:r>
        <w:rPr>
          <w:rFonts w:ascii="黑体" w:hAnsi="黑体" w:eastAsia="黑体"/>
          <w:sz w:val="28"/>
        </w:rPr>
        <w:t>三、实验环境与项目结构</w:t>
      </w:r>
    </w:p>
    <w:tbl>
      <w:tblPr>
        <w:tblStyle w:val="TableGrid"/>
        <w:tblW w:type="auto" w:w="0"/>
        <w:tblLook w:firstColumn="1" w:firstRow="1" w:lastColumn="0" w:lastRow="0" w:noHBand="0" w:noVBand="1" w:val="04A0"/>
      </w:tblPr>
      <w:tblGrid>
        <w:gridCol w:w="4320"/>
        <w:gridCol w:w="4320"/>
      </w:tblGrid>
      <w:tr>
        <w:tc>
          <w:tcPr>
            <w:tcW w:type="dxa" w:w="4320"/>
          </w:tcPr>
          <w:p>
            <w:r>
              <w:rPr>
                <w:rFonts w:ascii="黑体" w:hAnsi="黑体" w:eastAsia="黑体"/>
                <w:sz w:val="20"/>
              </w:rPr>
              <w:t>项目</w:t>
            </w:r>
          </w:p>
        </w:tc>
        <w:tc>
          <w:tcPr>
            <w:tcW w:type="dxa" w:w="4320"/>
          </w:tcPr>
          <w:p>
            <w:r>
              <w:rPr>
                <w:rFonts w:ascii="黑体" w:hAnsi="黑体" w:eastAsia="黑体"/>
                <w:sz w:val="20"/>
              </w:rPr>
              <w:t>内容</w:t>
            </w:r>
          </w:p>
        </w:tc>
      </w:tr>
      <w:tr>
        <w:tc>
          <w:tcPr>
            <w:tcW w:type="dxa" w:w="4320"/>
          </w:tcPr>
          <w:p>
            <w:r>
              <w:rPr>
                <w:rFonts w:ascii="宋体" w:hAnsi="宋体" w:eastAsia="宋体"/>
                <w:sz w:val="19"/>
              </w:rPr>
              <w:t>开发语言</w:t>
            </w:r>
          </w:p>
        </w:tc>
        <w:tc>
          <w:tcPr>
            <w:tcW w:type="dxa" w:w="4320"/>
          </w:tcPr>
          <w:p>
            <w:r>
              <w:rPr>
                <w:rFonts w:ascii="宋体" w:hAnsi="宋体" w:eastAsia="宋体"/>
                <w:sz w:val="19"/>
              </w:rPr>
              <w:t>Python 3.12</w:t>
            </w:r>
          </w:p>
        </w:tc>
      </w:tr>
      <w:tr>
        <w:tc>
          <w:tcPr>
            <w:tcW w:type="dxa" w:w="4320"/>
          </w:tcPr>
          <w:p>
            <w:r>
              <w:rPr>
                <w:rFonts w:ascii="宋体" w:hAnsi="宋体" w:eastAsia="宋体"/>
                <w:sz w:val="19"/>
              </w:rPr>
              <w:t>深度学习框架</w:t>
            </w:r>
          </w:p>
        </w:tc>
        <w:tc>
          <w:tcPr>
            <w:tcW w:type="dxa" w:w="4320"/>
          </w:tcPr>
          <w:p>
            <w:r>
              <w:rPr>
                <w:rFonts w:ascii="宋体" w:hAnsi="宋体" w:eastAsia="宋体"/>
                <w:sz w:val="19"/>
              </w:rPr>
              <w:t>PyTorch</w:t>
            </w:r>
          </w:p>
        </w:tc>
      </w:tr>
      <w:tr>
        <w:tc>
          <w:tcPr>
            <w:tcW w:type="dxa" w:w="4320"/>
          </w:tcPr>
          <w:p>
            <w:r>
              <w:rPr>
                <w:rFonts w:ascii="宋体" w:hAnsi="宋体" w:eastAsia="宋体"/>
                <w:sz w:val="19"/>
              </w:rPr>
              <w:t>图像处理</w:t>
            </w:r>
          </w:p>
        </w:tc>
        <w:tc>
          <w:tcPr>
            <w:tcW w:type="dxa" w:w="4320"/>
          </w:tcPr>
          <w:p>
            <w:r>
              <w:rPr>
                <w:rFonts w:ascii="宋体" w:hAnsi="宋体" w:eastAsia="宋体"/>
                <w:sz w:val="19"/>
              </w:rPr>
              <w:t>Pillow、NumPy</w:t>
            </w:r>
          </w:p>
        </w:tc>
      </w:tr>
      <w:tr>
        <w:tc>
          <w:tcPr>
            <w:tcW w:type="dxa" w:w="4320"/>
          </w:tcPr>
          <w:p>
            <w:r>
              <w:rPr>
                <w:rFonts w:ascii="宋体" w:hAnsi="宋体" w:eastAsia="宋体"/>
                <w:sz w:val="19"/>
              </w:rPr>
              <w:t>训练可视化</w:t>
            </w:r>
          </w:p>
        </w:tc>
        <w:tc>
          <w:tcPr>
            <w:tcW w:type="dxa" w:w="4320"/>
          </w:tcPr>
          <w:p>
            <w:r>
              <w:rPr>
                <w:rFonts w:ascii="宋体" w:hAnsi="宋体" w:eastAsia="宋体"/>
                <w:sz w:val="19"/>
              </w:rPr>
              <w:t>TensorBoard</w:t>
            </w:r>
          </w:p>
        </w:tc>
      </w:tr>
      <w:tr>
        <w:tc>
          <w:tcPr>
            <w:tcW w:type="dxa" w:w="4320"/>
          </w:tcPr>
          <w:p>
            <w:r>
              <w:rPr>
                <w:rFonts w:ascii="宋体" w:hAnsi="宋体" w:eastAsia="宋体"/>
                <w:sz w:val="19"/>
              </w:rPr>
              <w:t>模型导出</w:t>
            </w:r>
          </w:p>
        </w:tc>
        <w:tc>
          <w:tcPr>
            <w:tcW w:type="dxa" w:w="4320"/>
          </w:tcPr>
          <w:p>
            <w:r>
              <w:rPr>
                <w:rFonts w:ascii="宋体" w:hAnsi="宋体" w:eastAsia="宋体"/>
                <w:sz w:val="19"/>
              </w:rPr>
              <w:t>ONNX</w:t>
            </w:r>
          </w:p>
        </w:tc>
      </w:tr>
      <w:tr>
        <w:tc>
          <w:tcPr>
            <w:tcW w:type="dxa" w:w="4320"/>
          </w:tcPr>
          <w:p>
            <w:r>
              <w:rPr>
                <w:rFonts w:ascii="宋体" w:hAnsi="宋体" w:eastAsia="宋体"/>
                <w:sz w:val="19"/>
              </w:rPr>
              <w:t>部署推理验证</w:t>
            </w:r>
          </w:p>
        </w:tc>
        <w:tc>
          <w:tcPr>
            <w:tcW w:type="dxa" w:w="4320"/>
          </w:tcPr>
          <w:p>
            <w:r>
              <w:rPr>
                <w:rFonts w:ascii="宋体" w:hAnsi="宋体" w:eastAsia="宋体"/>
                <w:sz w:val="19"/>
              </w:rPr>
              <w:t>ONNX Runtime</w:t>
            </w:r>
          </w:p>
        </w:tc>
      </w:tr>
      <w:tr>
        <w:tc>
          <w:tcPr>
            <w:tcW w:type="dxa" w:w="4320"/>
          </w:tcPr>
          <w:p>
            <w:r>
              <w:rPr>
                <w:rFonts w:ascii="宋体" w:hAnsi="宋体" w:eastAsia="宋体"/>
                <w:sz w:val="19"/>
              </w:rPr>
              <w:t>版本管理</w:t>
            </w:r>
          </w:p>
        </w:tc>
        <w:tc>
          <w:tcPr>
            <w:tcW w:type="dxa" w:w="4320"/>
          </w:tcPr>
          <w:p>
            <w:r>
              <w:rPr>
                <w:rFonts w:ascii="宋体" w:hAnsi="宋体" w:eastAsia="宋体"/>
                <w:sz w:val="19"/>
              </w:rPr>
              <w:t>Git、GitHub</w:t>
            </w:r>
          </w:p>
        </w:tc>
      </w:tr>
    </w:tbl>
    <w:p>
      <w:pPr>
        <w:spacing w:line="300" w:lineRule="auto"/>
        <w:ind w:firstLine="420"/>
      </w:pPr>
      <w:r>
        <w:rPr>
          <w:rFonts w:ascii="宋体" w:hAnsi="宋体" w:eastAsia="宋体"/>
          <w:sz w:val="21"/>
        </w:rPr>
        <w:t>项目采用标准 GitHub 工程结构，核心代码位于 src/lane_binary_classifier，数据转换脚本位于 scripts，说明文档位于 docs，训练配置位于 configs。data、outputs、.venv、模型权重和 ONNX 文件均被 .gitignore 忽略，避免将大文件和本地环境提交到远程仓库。</w:t>
      </w:r>
    </w:p>
    <w:p>
      <w:pPr>
        <w:pStyle w:val="Heading1"/>
        <w:jc w:val="left"/>
      </w:pPr>
      <w:r>
        <w:rPr>
          <w:rFonts w:ascii="黑体" w:hAnsi="黑体" w:eastAsia="黑体"/>
          <w:sz w:val="28"/>
        </w:rPr>
        <w:t>四、实验步骤</w:t>
      </w:r>
    </w:p>
    <w:p>
      <w:pPr>
        <w:pStyle w:val="ListBullet"/>
      </w:pPr>
      <w:r>
        <w:rPr>
          <w:rFonts w:ascii="宋体" w:hAnsi="宋体" w:eastAsia="宋体"/>
          <w:sz w:val="21"/>
        </w:rPr>
        <w:t>创建独立 Python 虚拟环境，安装 requirements.txt 中的依赖，并使用 pip install -e . 将项目以可编辑模式安装。</w:t>
      </w:r>
    </w:p>
    <w:p>
      <w:pPr>
        <w:pStyle w:val="ListBullet"/>
      </w:pPr>
      <w:r>
        <w:rPr>
          <w:rFonts w:ascii="宋体" w:hAnsi="宋体" w:eastAsia="宋体"/>
          <w:sz w:val="21"/>
        </w:rPr>
        <w:t>使用 make_toy_dataset.py 生成小型合成数据集，先验证训练、保存模型、TensorBoard、ONNX 导出和推理流程是否完整。</w:t>
      </w:r>
    </w:p>
    <w:p>
      <w:pPr>
        <w:pStyle w:val="ListBullet"/>
      </w:pPr>
      <w:r>
        <w:rPr>
          <w:rFonts w:ascii="宋体" w:hAnsi="宋体" w:eastAsia="宋体"/>
          <w:sz w:val="21"/>
        </w:rPr>
        <w:t>实现 LaneImageFolder 数据加载器，按照 train/val 和 in_lane/out_lane 目录组织数据。</w:t>
      </w:r>
    </w:p>
    <w:p>
      <w:pPr>
        <w:pStyle w:val="ListBullet"/>
      </w:pPr>
      <w:r>
        <w:rPr>
          <w:rFonts w:ascii="宋体" w:hAnsi="宋体" w:eastAsia="宋体"/>
          <w:sz w:val="21"/>
        </w:rPr>
        <w:t>实现轻量 CNN 模型 LaneBinaryNet，并使用 BCEWithLogitsLoss 训练二分类模型。</w:t>
      </w:r>
    </w:p>
    <w:p>
      <w:pPr>
        <w:pStyle w:val="ListBullet"/>
      </w:pPr>
      <w:r>
        <w:rPr>
          <w:rFonts w:ascii="宋体" w:hAnsi="宋体" w:eastAsia="宋体"/>
          <w:sz w:val="21"/>
        </w:rPr>
        <w:t>训练时记录 loss、accuracy、precision、recall 和 F1，并将曲线写入 TensorBoard。</w:t>
      </w:r>
    </w:p>
    <w:p>
      <w:pPr>
        <w:pStyle w:val="ListBullet"/>
      </w:pPr>
      <w:r>
        <w:rPr>
          <w:rFonts w:ascii="宋体" w:hAnsi="宋体" w:eastAsia="宋体"/>
          <w:sz w:val="21"/>
        </w:rPr>
        <w:t>根据验证集 F1 保存最优模型 best.pt，同时保存最后一轮模型 last.pt。</w:t>
      </w:r>
    </w:p>
    <w:p>
      <w:pPr>
        <w:pStyle w:val="ListBullet"/>
      </w:pPr>
      <w:r>
        <w:rPr>
          <w:rFonts w:ascii="宋体" w:hAnsi="宋体" w:eastAsia="宋体"/>
          <w:sz w:val="21"/>
        </w:rPr>
        <w:t>将 best.pt 导出为 ONNX 格式，得到 lane_binary_classifier.onnx。</w:t>
      </w:r>
    </w:p>
    <w:p>
      <w:pPr>
        <w:pStyle w:val="ListBullet"/>
      </w:pPr>
      <w:r>
        <w:rPr>
          <w:rFonts w:ascii="宋体" w:hAnsi="宋体" w:eastAsia="宋体"/>
          <w:sz w:val="21"/>
        </w:rPr>
        <w:t>使用 ONNX Runtime 加载 ONNX 模型，对单张 ROI 图片进行独立推理验证。</w:t>
      </w:r>
    </w:p>
    <w:p>
      <w:pPr>
        <w:pStyle w:val="ListBullet"/>
      </w:pPr>
      <w:r>
        <w:rPr>
          <w:rFonts w:ascii="宋体" w:hAnsi="宋体" w:eastAsia="宋体"/>
          <w:sz w:val="21"/>
        </w:rPr>
        <w:t>使用 prepare_tusimple_binary.py 将 TuSimple 开源车道线数据转换成正式二分类 ROI 数据集，并完成真实数据训练与测试。</w:t>
      </w:r>
    </w:p>
    <w:p>
      <w:pPr>
        <w:pStyle w:val="Heading1"/>
        <w:jc w:val="left"/>
      </w:pPr>
      <w:r>
        <w:rPr>
          <w:rFonts w:ascii="黑体" w:hAnsi="黑体" w:eastAsia="黑体"/>
          <w:sz w:val="28"/>
        </w:rPr>
        <w:t>五、关键命令</w:t>
      </w:r>
    </w:p>
    <w:p>
      <w:pPr>
        <w:spacing w:before="60" w:after="120"/>
        <w:ind w:left="360"/>
      </w:pPr>
      <w:r>
        <w:rPr>
          <w:rFonts w:ascii="Consolas" w:hAnsi="Consolas" w:eastAsia="Consolas"/>
          <w:sz w:val="17"/>
        </w:rPr>
        <w:t>python scripts\make_toy_dataset.py --output data\toy_lane --train-size 400 --val-size 80</w:t>
        <w:br/>
        <w:br/>
        <w:t>python -m lane_binary_classifier.train --data-dir data\toy_lane --output-dir outputs\toy_run --epochs 8 --batch-size 32 --tensorboard</w:t>
        <w:br/>
        <w:br/>
        <w:t>tensorboard --logdir outputs\toy_run\tensorboard</w:t>
        <w:br/>
        <w:br/>
        <w:t>python -m lane_binary_classifier.export_onnx --checkpoint outputs\toy_run\best.pt --output outputs\toy_run\lane_binary_classifier.onnx</w:t>
        <w:br/>
        <w:br/>
        <w:t>python -m lane_binary_classifier.predict_onnx --onnx-model outputs\toy_run\lane_binary_classifier.onnx --image data\toy_lane\val\in_lane\0000.png</w:t>
      </w:r>
    </w:p>
    <w:p>
      <w:pPr>
        <w:pStyle w:val="Heading1"/>
        <w:jc w:val="left"/>
      </w:pPr>
      <w:r>
        <w:rPr>
          <w:rFonts w:ascii="黑体" w:hAnsi="黑体" w:eastAsia="黑体"/>
          <w:sz w:val="28"/>
        </w:rPr>
        <w:t>六、实验结果与分析</w:t>
      </w:r>
    </w:p>
    <w:p>
      <w:pPr>
        <w:pStyle w:val="Heading2"/>
        <w:jc w:val="left"/>
      </w:pPr>
      <w:r>
        <w:rPr>
          <w:rFonts w:ascii="黑体" w:hAnsi="黑体" w:eastAsia="黑体"/>
          <w:sz w:val="24"/>
        </w:rPr>
        <w:t>6.1 Toy 数据集流程验证结果</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黑体" w:hAnsi="黑体" w:eastAsia="黑体"/>
                <w:sz w:val="20"/>
              </w:rPr>
              <w:t>数据集</w:t>
            </w:r>
          </w:p>
        </w:tc>
        <w:tc>
          <w:tcPr>
            <w:tcW w:type="dxa" w:w="1234"/>
          </w:tcPr>
          <w:p>
            <w:r>
              <w:rPr>
                <w:rFonts w:ascii="黑体" w:hAnsi="黑体" w:eastAsia="黑体"/>
                <w:sz w:val="20"/>
              </w:rPr>
              <w:t>Epoch</w:t>
            </w:r>
          </w:p>
        </w:tc>
        <w:tc>
          <w:tcPr>
            <w:tcW w:type="dxa" w:w="1234"/>
          </w:tcPr>
          <w:p>
            <w:r>
              <w:rPr>
                <w:rFonts w:ascii="黑体" w:hAnsi="黑体" w:eastAsia="黑体"/>
                <w:sz w:val="20"/>
              </w:rPr>
              <w:t>Accuracy</w:t>
            </w:r>
          </w:p>
        </w:tc>
        <w:tc>
          <w:tcPr>
            <w:tcW w:type="dxa" w:w="1234"/>
          </w:tcPr>
          <w:p>
            <w:r>
              <w:rPr>
                <w:rFonts w:ascii="黑体" w:hAnsi="黑体" w:eastAsia="黑体"/>
                <w:sz w:val="20"/>
              </w:rPr>
              <w:t>Precision</w:t>
            </w:r>
          </w:p>
        </w:tc>
        <w:tc>
          <w:tcPr>
            <w:tcW w:type="dxa" w:w="1234"/>
          </w:tcPr>
          <w:p>
            <w:r>
              <w:rPr>
                <w:rFonts w:ascii="黑体" w:hAnsi="黑体" w:eastAsia="黑体"/>
                <w:sz w:val="20"/>
              </w:rPr>
              <w:t>Recall</w:t>
            </w:r>
          </w:p>
        </w:tc>
        <w:tc>
          <w:tcPr>
            <w:tcW w:type="dxa" w:w="1234"/>
          </w:tcPr>
          <w:p>
            <w:r>
              <w:rPr>
                <w:rFonts w:ascii="黑体" w:hAnsi="黑体" w:eastAsia="黑体"/>
                <w:sz w:val="20"/>
              </w:rPr>
              <w:t>F1</w:t>
            </w:r>
          </w:p>
        </w:tc>
        <w:tc>
          <w:tcPr>
            <w:tcW w:type="dxa" w:w="1234"/>
          </w:tcPr>
          <w:p>
            <w:r>
              <w:rPr>
                <w:rFonts w:ascii="黑体" w:hAnsi="黑体" w:eastAsia="黑体"/>
                <w:sz w:val="20"/>
              </w:rPr>
              <w:t>说明</w:t>
            </w:r>
          </w:p>
        </w:tc>
      </w:tr>
      <w:tr>
        <w:tc>
          <w:tcPr>
            <w:tcW w:type="dxa" w:w="1234"/>
          </w:tcPr>
          <w:p>
            <w:r>
              <w:rPr>
                <w:rFonts w:ascii="宋体" w:hAnsi="宋体" w:eastAsia="宋体"/>
                <w:sz w:val="19"/>
              </w:rPr>
              <w:t>Toy Val</w:t>
            </w:r>
          </w:p>
        </w:tc>
        <w:tc>
          <w:tcPr>
            <w:tcW w:type="dxa" w:w="1234"/>
          </w:tcPr>
          <w:p>
            <w:r>
              <w:rPr>
                <w:rFonts w:ascii="宋体" w:hAnsi="宋体" w:eastAsia="宋体"/>
                <w:sz w:val="19"/>
              </w:rPr>
              <w:t>8</w:t>
            </w:r>
          </w:p>
        </w:tc>
        <w:tc>
          <w:tcPr>
            <w:tcW w:type="dxa" w:w="1234"/>
          </w:tcPr>
          <w:p>
            <w:r>
              <w:rPr>
                <w:rFonts w:ascii="宋体" w:hAnsi="宋体" w:eastAsia="宋体"/>
                <w:sz w:val="19"/>
              </w:rPr>
              <w:t>1.000</w:t>
            </w:r>
          </w:p>
        </w:tc>
        <w:tc>
          <w:tcPr>
            <w:tcW w:type="dxa" w:w="1234"/>
          </w:tcPr>
          <w:p>
            <w:r>
              <w:rPr>
                <w:rFonts w:ascii="宋体" w:hAnsi="宋体" w:eastAsia="宋体"/>
                <w:sz w:val="19"/>
              </w:rPr>
              <w:t>1.000</w:t>
            </w:r>
          </w:p>
        </w:tc>
        <w:tc>
          <w:tcPr>
            <w:tcW w:type="dxa" w:w="1234"/>
          </w:tcPr>
          <w:p>
            <w:r>
              <w:rPr>
                <w:rFonts w:ascii="宋体" w:hAnsi="宋体" w:eastAsia="宋体"/>
                <w:sz w:val="19"/>
              </w:rPr>
              <w:t>1.000</w:t>
            </w:r>
          </w:p>
        </w:tc>
        <w:tc>
          <w:tcPr>
            <w:tcW w:type="dxa" w:w="1234"/>
          </w:tcPr>
          <w:p>
            <w:r>
              <w:rPr>
                <w:rFonts w:ascii="宋体" w:hAnsi="宋体" w:eastAsia="宋体"/>
                <w:sz w:val="19"/>
              </w:rPr>
              <w:t>1.000</w:t>
            </w:r>
          </w:p>
        </w:tc>
        <w:tc>
          <w:tcPr>
            <w:tcW w:type="dxa" w:w="1234"/>
          </w:tcPr>
          <w:p>
            <w:r>
              <w:rPr>
                <w:rFonts w:ascii="宋体" w:hAnsi="宋体" w:eastAsia="宋体"/>
                <w:sz w:val="19"/>
              </w:rPr>
              <w:t>用于验证工程流程，不作为真实道路最终性能</w:t>
            </w:r>
          </w:p>
        </w:tc>
      </w:tr>
    </w:tbl>
    <w:p>
      <w:pPr>
        <w:spacing w:line="300" w:lineRule="auto"/>
        <w:ind w:firstLine="420"/>
      </w:pPr>
      <w:r>
        <w:rPr>
          <w:rFonts w:ascii="宋体" w:hAnsi="宋体" w:eastAsia="宋体"/>
          <w:sz w:val="21"/>
        </w:rPr>
        <w:t>在 toy 数据集上，模型训练 8 个 epoch 后验证集 accuracy、precision、recall 和 F1 均达到 1.000。该结果说明当前模型和训练代码可以正常收敛，数据加载、指标计算、模型保存和 TensorBoard 记录流程均已跑通。但 toy 数据集由脚本合成，样本规律较简单，不能代表真实道路环境下的泛化性能。</w:t>
      </w:r>
    </w:p>
    <w:p>
      <w:pPr>
        <w:spacing w:line="300" w:lineRule="auto"/>
        <w:ind w:firstLine="420"/>
      </w:pPr>
      <w:r>
        <w:rPr>
          <w:rFonts w:ascii="宋体" w:hAnsi="宋体" w:eastAsia="宋体"/>
          <w:sz w:val="21"/>
        </w:rPr>
        <w:t>TensorBoard 中记录了 train 与 val 两组指标，每组包含 loss、accuracy、precision、recall 和 F1。训练过程中 loss 整体下降，F1 和 accuracy 逐步上升，说明模型在该验证数据上学习到了区分车道内外的视觉模式。</w:t>
      </w:r>
    </w:p>
    <w:p>
      <w:pPr>
        <w:jc w:val="center"/>
      </w:pPr>
      <w:r>
        <w:drawing>
          <wp:inline xmlns:a="http://schemas.openxmlformats.org/drawingml/2006/main" xmlns:pic="http://schemas.openxmlformats.org/drawingml/2006/picture">
            <wp:extent cx="6035040" cy="3931920"/>
            <wp:docPr id="1" name="Picture 1"/>
            <wp:cNvGraphicFramePr>
              <a:graphicFrameLocks noChangeAspect="1"/>
            </wp:cNvGraphicFramePr>
            <a:graphic>
              <a:graphicData uri="http://schemas.openxmlformats.org/drawingml/2006/picture">
                <pic:pic>
                  <pic:nvPicPr>
                    <pic:cNvPr id="0" name="tensorboard_tusimple_curves.png"/>
                    <pic:cNvPicPr/>
                  </pic:nvPicPr>
                  <pic:blipFill>
                    <a:blip r:embed="rId9"/>
                    <a:stretch>
                      <a:fillRect/>
                    </a:stretch>
                  </pic:blipFill>
                  <pic:spPr>
                    <a:xfrm>
                      <a:off x="0" y="0"/>
                      <a:ext cx="6035040" cy="3931920"/>
                    </a:xfrm>
                    <a:prstGeom prst="rect"/>
                  </pic:spPr>
                </pic:pic>
              </a:graphicData>
            </a:graphic>
          </wp:inline>
        </w:drawing>
      </w:r>
    </w:p>
    <w:p>
      <w:pPr>
        <w:jc w:val="center"/>
      </w:pPr>
      <w:r>
        <w:rPr>
          <w:rFonts w:ascii="宋体" w:hAnsi="宋体" w:eastAsia="宋体"/>
          <w:sz w:val="18"/>
        </w:rPr>
        <w:t>图 1  TuSimple 真实训练过程 TensorBoard 曲线</w:t>
      </w:r>
    </w:p>
    <w:p>
      <w:pPr>
        <w:pStyle w:val="Heading2"/>
        <w:jc w:val="left"/>
      </w:pPr>
      <w:r>
        <w:rPr>
          <w:rFonts w:ascii="黑体" w:hAnsi="黑体" w:eastAsia="黑体"/>
          <w:sz w:val="24"/>
        </w:rPr>
        <w:t>6.2 TuSimple 真实数据训练与测试结果</w:t>
      </w:r>
    </w:p>
    <w:p>
      <w:pPr>
        <w:spacing w:line="300" w:lineRule="auto"/>
        <w:ind w:firstLine="420"/>
      </w:pPr>
      <w:r>
        <w:rPr>
          <w:rFonts w:ascii="宋体" w:hAnsi="宋体" w:eastAsia="宋体"/>
          <w:sz w:val="21"/>
        </w:rPr>
        <w:t>TuSimple 数据集下载并解压后，实验使用 label_data_0313.json 生成训练集，使用 label_data_0531.json 生成验证集，使用 label_data_0601.json 生成独立测试集。转换后训练集包含 2857 个 in_lane 样本和 5642 个 out_lane 样本；验证集包含 358 个 in_lane 样本和 702 个 out_lane 样本；测试集包含 410 个 in_lane 样本和 814 个 out_lane 样本。</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sz w:val="20"/>
              </w:rPr>
              <w:t>阶段</w:t>
            </w:r>
          </w:p>
        </w:tc>
        <w:tc>
          <w:tcPr>
            <w:tcW w:type="dxa" w:w="1728"/>
          </w:tcPr>
          <w:p>
            <w:r>
              <w:rPr>
                <w:rFonts w:ascii="黑体" w:hAnsi="黑体" w:eastAsia="黑体"/>
                <w:sz w:val="20"/>
              </w:rPr>
              <w:t>in_lane</w:t>
            </w:r>
          </w:p>
        </w:tc>
        <w:tc>
          <w:tcPr>
            <w:tcW w:type="dxa" w:w="1728"/>
          </w:tcPr>
          <w:p>
            <w:r>
              <w:rPr>
                <w:rFonts w:ascii="黑体" w:hAnsi="黑体" w:eastAsia="黑体"/>
                <w:sz w:val="20"/>
              </w:rPr>
              <w:t>out_lane</w:t>
            </w:r>
          </w:p>
        </w:tc>
        <w:tc>
          <w:tcPr>
            <w:tcW w:type="dxa" w:w="1728"/>
          </w:tcPr>
          <w:p>
            <w:r>
              <w:rPr>
                <w:rFonts w:ascii="黑体" w:hAnsi="黑体" w:eastAsia="黑体"/>
                <w:sz w:val="20"/>
              </w:rPr>
              <w:t>总样本</w:t>
            </w:r>
          </w:p>
        </w:tc>
        <w:tc>
          <w:tcPr>
            <w:tcW w:type="dxa" w:w="1728"/>
          </w:tcPr>
          <w:p>
            <w:r>
              <w:rPr>
                <w:rFonts w:ascii="黑体" w:hAnsi="黑体" w:eastAsia="黑体"/>
                <w:sz w:val="20"/>
              </w:rPr>
              <w:t>用途</w:t>
            </w:r>
          </w:p>
        </w:tc>
      </w:tr>
      <w:tr>
        <w:tc>
          <w:tcPr>
            <w:tcW w:type="dxa" w:w="1728"/>
          </w:tcPr>
          <w:p>
            <w:r>
              <w:rPr>
                <w:rFonts w:ascii="宋体" w:hAnsi="宋体" w:eastAsia="宋体"/>
                <w:sz w:val="19"/>
              </w:rPr>
              <w:t>Train</w:t>
            </w:r>
          </w:p>
        </w:tc>
        <w:tc>
          <w:tcPr>
            <w:tcW w:type="dxa" w:w="1728"/>
          </w:tcPr>
          <w:p>
            <w:r>
              <w:rPr>
                <w:rFonts w:ascii="宋体" w:hAnsi="宋体" w:eastAsia="宋体"/>
                <w:sz w:val="19"/>
              </w:rPr>
              <w:t>2857</w:t>
            </w:r>
          </w:p>
        </w:tc>
        <w:tc>
          <w:tcPr>
            <w:tcW w:type="dxa" w:w="1728"/>
          </w:tcPr>
          <w:p>
            <w:r>
              <w:rPr>
                <w:rFonts w:ascii="宋体" w:hAnsi="宋体" w:eastAsia="宋体"/>
                <w:sz w:val="19"/>
              </w:rPr>
              <w:t>5642</w:t>
            </w:r>
          </w:p>
        </w:tc>
        <w:tc>
          <w:tcPr>
            <w:tcW w:type="dxa" w:w="1728"/>
          </w:tcPr>
          <w:p>
            <w:r>
              <w:rPr>
                <w:rFonts w:ascii="宋体" w:hAnsi="宋体" w:eastAsia="宋体"/>
                <w:sz w:val="19"/>
              </w:rPr>
              <w:t>8499</w:t>
            </w:r>
          </w:p>
        </w:tc>
        <w:tc>
          <w:tcPr>
            <w:tcW w:type="dxa" w:w="1728"/>
          </w:tcPr>
          <w:p>
            <w:r>
              <w:rPr>
                <w:rFonts w:ascii="宋体" w:hAnsi="宋体" w:eastAsia="宋体"/>
                <w:sz w:val="19"/>
              </w:rPr>
              <w:t>模型参数学习</w:t>
            </w:r>
          </w:p>
        </w:tc>
      </w:tr>
      <w:tr>
        <w:tc>
          <w:tcPr>
            <w:tcW w:type="dxa" w:w="1728"/>
          </w:tcPr>
          <w:p>
            <w:r>
              <w:rPr>
                <w:rFonts w:ascii="宋体" w:hAnsi="宋体" w:eastAsia="宋体"/>
                <w:sz w:val="19"/>
              </w:rPr>
              <w:t>Val</w:t>
            </w:r>
          </w:p>
        </w:tc>
        <w:tc>
          <w:tcPr>
            <w:tcW w:type="dxa" w:w="1728"/>
          </w:tcPr>
          <w:p>
            <w:r>
              <w:rPr>
                <w:rFonts w:ascii="宋体" w:hAnsi="宋体" w:eastAsia="宋体"/>
                <w:sz w:val="19"/>
              </w:rPr>
              <w:t>358</w:t>
            </w:r>
          </w:p>
        </w:tc>
        <w:tc>
          <w:tcPr>
            <w:tcW w:type="dxa" w:w="1728"/>
          </w:tcPr>
          <w:p>
            <w:r>
              <w:rPr>
                <w:rFonts w:ascii="宋体" w:hAnsi="宋体" w:eastAsia="宋体"/>
                <w:sz w:val="19"/>
              </w:rPr>
              <w:t>702</w:t>
            </w:r>
          </w:p>
        </w:tc>
        <w:tc>
          <w:tcPr>
            <w:tcW w:type="dxa" w:w="1728"/>
          </w:tcPr>
          <w:p>
            <w:r>
              <w:rPr>
                <w:rFonts w:ascii="宋体" w:hAnsi="宋体" w:eastAsia="宋体"/>
                <w:sz w:val="19"/>
              </w:rPr>
              <w:t>1060</w:t>
            </w:r>
          </w:p>
        </w:tc>
        <w:tc>
          <w:tcPr>
            <w:tcW w:type="dxa" w:w="1728"/>
          </w:tcPr>
          <w:p>
            <w:r>
              <w:rPr>
                <w:rFonts w:ascii="宋体" w:hAnsi="宋体" w:eastAsia="宋体"/>
                <w:sz w:val="19"/>
              </w:rPr>
              <w:t>选择 best.pt</w:t>
            </w:r>
          </w:p>
        </w:tc>
      </w:tr>
      <w:tr>
        <w:tc>
          <w:tcPr>
            <w:tcW w:type="dxa" w:w="1728"/>
          </w:tcPr>
          <w:p>
            <w:r>
              <w:rPr>
                <w:rFonts w:ascii="宋体" w:hAnsi="宋体" w:eastAsia="宋体"/>
                <w:sz w:val="19"/>
              </w:rPr>
              <w:t>Test</w:t>
            </w:r>
          </w:p>
        </w:tc>
        <w:tc>
          <w:tcPr>
            <w:tcW w:type="dxa" w:w="1728"/>
          </w:tcPr>
          <w:p>
            <w:r>
              <w:rPr>
                <w:rFonts w:ascii="宋体" w:hAnsi="宋体" w:eastAsia="宋体"/>
                <w:sz w:val="19"/>
              </w:rPr>
              <w:t>410</w:t>
            </w:r>
          </w:p>
        </w:tc>
        <w:tc>
          <w:tcPr>
            <w:tcW w:type="dxa" w:w="1728"/>
          </w:tcPr>
          <w:p>
            <w:r>
              <w:rPr>
                <w:rFonts w:ascii="宋体" w:hAnsi="宋体" w:eastAsia="宋体"/>
                <w:sz w:val="19"/>
              </w:rPr>
              <w:t>814</w:t>
            </w:r>
          </w:p>
        </w:tc>
        <w:tc>
          <w:tcPr>
            <w:tcW w:type="dxa" w:w="1728"/>
          </w:tcPr>
          <w:p>
            <w:r>
              <w:rPr>
                <w:rFonts w:ascii="宋体" w:hAnsi="宋体" w:eastAsia="宋体"/>
                <w:sz w:val="19"/>
              </w:rPr>
              <w:t>1224</w:t>
            </w:r>
          </w:p>
        </w:tc>
        <w:tc>
          <w:tcPr>
            <w:tcW w:type="dxa" w:w="1728"/>
          </w:tcPr>
          <w:p>
            <w:r>
              <w:rPr>
                <w:rFonts w:ascii="宋体" w:hAnsi="宋体" w:eastAsia="宋体"/>
                <w:sz w:val="19"/>
              </w:rPr>
              <w:t>最终独立评估</w:t>
            </w:r>
          </w:p>
        </w:tc>
      </w:tr>
    </w:tbl>
    <w:p>
      <w:pPr>
        <w:spacing w:line="300" w:lineRule="auto"/>
        <w:ind w:firstLine="420"/>
      </w:pPr>
      <w:r>
        <w:rPr>
          <w:rFonts w:ascii="宋体" w:hAnsi="宋体" w:eastAsia="宋体"/>
          <w:sz w:val="21"/>
        </w:rPr>
        <w:t>模型共训练 20 个 epoch，验证集 F1 最高出现在第 18 个 epoch，因此将 outputs/tusimple_run/best.pt 固定为正式模型。该模型在验证集上的 accuracy 为 0.9085，precision 为 0.8254，recall 为 0.9246，F1 为 0.8722。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黑体" w:hAnsi="黑体" w:eastAsia="黑体"/>
                <w:sz w:val="20"/>
              </w:rPr>
              <w:t>模型</w:t>
            </w:r>
          </w:p>
        </w:tc>
        <w:tc>
          <w:tcPr>
            <w:tcW w:type="dxa" w:w="1234"/>
          </w:tcPr>
          <w:p>
            <w:r>
              <w:rPr>
                <w:rFonts w:ascii="黑体" w:hAnsi="黑体" w:eastAsia="黑体"/>
                <w:sz w:val="20"/>
              </w:rPr>
              <w:t>Epoch</w:t>
            </w:r>
          </w:p>
        </w:tc>
        <w:tc>
          <w:tcPr>
            <w:tcW w:type="dxa" w:w="1234"/>
          </w:tcPr>
          <w:p>
            <w:r>
              <w:rPr>
                <w:rFonts w:ascii="黑体" w:hAnsi="黑体" w:eastAsia="黑体"/>
                <w:sz w:val="20"/>
              </w:rPr>
              <w:t>Loss</w:t>
            </w:r>
          </w:p>
        </w:tc>
        <w:tc>
          <w:tcPr>
            <w:tcW w:type="dxa" w:w="1234"/>
          </w:tcPr>
          <w:p>
            <w:r>
              <w:rPr>
                <w:rFonts w:ascii="黑体" w:hAnsi="黑体" w:eastAsia="黑体"/>
                <w:sz w:val="20"/>
              </w:rPr>
              <w:t>Accuracy</w:t>
            </w:r>
          </w:p>
        </w:tc>
        <w:tc>
          <w:tcPr>
            <w:tcW w:type="dxa" w:w="1234"/>
          </w:tcPr>
          <w:p>
            <w:r>
              <w:rPr>
                <w:rFonts w:ascii="黑体" w:hAnsi="黑体" w:eastAsia="黑体"/>
                <w:sz w:val="20"/>
              </w:rPr>
              <w:t>Precision</w:t>
            </w:r>
          </w:p>
        </w:tc>
        <w:tc>
          <w:tcPr>
            <w:tcW w:type="dxa" w:w="1234"/>
          </w:tcPr>
          <w:p>
            <w:r>
              <w:rPr>
                <w:rFonts w:ascii="黑体" w:hAnsi="黑体" w:eastAsia="黑体"/>
                <w:sz w:val="20"/>
              </w:rPr>
              <w:t>Recall</w:t>
            </w:r>
          </w:p>
        </w:tc>
        <w:tc>
          <w:tcPr>
            <w:tcW w:type="dxa" w:w="1234"/>
          </w:tcPr>
          <w:p>
            <w:r>
              <w:rPr>
                <w:rFonts w:ascii="黑体" w:hAnsi="黑体" w:eastAsia="黑体"/>
                <w:sz w:val="20"/>
              </w:rPr>
              <w:t>F1</w:t>
            </w:r>
          </w:p>
        </w:tc>
      </w:tr>
      <w:tr>
        <w:tc>
          <w:tcPr>
            <w:tcW w:type="dxa" w:w="1234"/>
          </w:tcPr>
          <w:p>
            <w:r>
              <w:rPr>
                <w:rFonts w:ascii="宋体" w:hAnsi="宋体" w:eastAsia="宋体"/>
                <w:sz w:val="19"/>
              </w:rPr>
              <w:t>best.pt</w:t>
            </w:r>
          </w:p>
        </w:tc>
        <w:tc>
          <w:tcPr>
            <w:tcW w:type="dxa" w:w="1234"/>
          </w:tcPr>
          <w:p>
            <w:r>
              <w:rPr>
                <w:rFonts w:ascii="宋体" w:hAnsi="宋体" w:eastAsia="宋体"/>
                <w:sz w:val="19"/>
              </w:rPr>
              <w:t>18</w:t>
            </w:r>
          </w:p>
        </w:tc>
        <w:tc>
          <w:tcPr>
            <w:tcW w:type="dxa" w:w="1234"/>
          </w:tcPr>
          <w:p>
            <w:r>
              <w:rPr>
                <w:rFonts w:ascii="宋体" w:hAnsi="宋体" w:eastAsia="宋体"/>
                <w:sz w:val="19"/>
              </w:rPr>
              <w:t>0.2320</w:t>
            </w:r>
          </w:p>
        </w:tc>
        <w:tc>
          <w:tcPr>
            <w:tcW w:type="dxa" w:w="1234"/>
          </w:tcPr>
          <w:p>
            <w:r>
              <w:rPr>
                <w:rFonts w:ascii="宋体" w:hAnsi="宋体" w:eastAsia="宋体"/>
                <w:sz w:val="19"/>
              </w:rPr>
              <w:t>0.9085</w:t>
            </w:r>
          </w:p>
        </w:tc>
        <w:tc>
          <w:tcPr>
            <w:tcW w:type="dxa" w:w="1234"/>
          </w:tcPr>
          <w:p>
            <w:r>
              <w:rPr>
                <w:rFonts w:ascii="宋体" w:hAnsi="宋体" w:eastAsia="宋体"/>
                <w:sz w:val="19"/>
              </w:rPr>
              <w:t>0.8254</w:t>
            </w:r>
          </w:p>
        </w:tc>
        <w:tc>
          <w:tcPr>
            <w:tcW w:type="dxa" w:w="1234"/>
          </w:tcPr>
          <w:p>
            <w:r>
              <w:rPr>
                <w:rFonts w:ascii="宋体" w:hAnsi="宋体" w:eastAsia="宋体"/>
                <w:sz w:val="19"/>
              </w:rPr>
              <w:t>0.9246</w:t>
            </w:r>
          </w:p>
        </w:tc>
        <w:tc>
          <w:tcPr>
            <w:tcW w:type="dxa" w:w="1234"/>
          </w:tcPr>
          <w:p>
            <w:r>
              <w:rPr>
                <w:rFonts w:ascii="宋体" w:hAnsi="宋体" w:eastAsia="宋体"/>
                <w:sz w:val="19"/>
              </w:rPr>
              <w:t>0.8722</w:t>
            </w:r>
          </w:p>
        </w:tc>
      </w:tr>
    </w:tbl>
    <w:p>
      <w:pPr>
        <w:spacing w:line="300" w:lineRule="auto"/>
        <w:ind w:firstLine="420"/>
      </w:pPr>
      <w:r>
        <w:rPr>
          <w:rFonts w:ascii="宋体" w:hAnsi="宋体" w:eastAsia="宋体"/>
          <w:sz w:val="21"/>
        </w:rPr>
        <w:t>在独立测试集上，正式模型取得 accuracy 0.9665、precision 0.9301、recall 0.9732、F1 0.9511、loss 0.0912。该结果说明模型在未参与训练和模型选择的新 ROI 样本上仍能较稳定地区分车道内与车道外。</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黑体" w:hAnsi="黑体" w:eastAsia="黑体"/>
                <w:sz w:val="20"/>
              </w:rPr>
              <w:t>Split</w:t>
            </w:r>
          </w:p>
        </w:tc>
        <w:tc>
          <w:tcPr>
            <w:tcW w:type="dxa" w:w="1234"/>
          </w:tcPr>
          <w:p>
            <w:r>
              <w:rPr>
                <w:rFonts w:ascii="黑体" w:hAnsi="黑体" w:eastAsia="黑体"/>
                <w:sz w:val="20"/>
              </w:rPr>
              <w:t>Loss</w:t>
            </w:r>
          </w:p>
        </w:tc>
        <w:tc>
          <w:tcPr>
            <w:tcW w:type="dxa" w:w="1234"/>
          </w:tcPr>
          <w:p>
            <w:r>
              <w:rPr>
                <w:rFonts w:ascii="黑体" w:hAnsi="黑体" w:eastAsia="黑体"/>
                <w:sz w:val="20"/>
              </w:rPr>
              <w:t>Accuracy</w:t>
            </w:r>
          </w:p>
        </w:tc>
        <w:tc>
          <w:tcPr>
            <w:tcW w:type="dxa" w:w="1234"/>
          </w:tcPr>
          <w:p>
            <w:r>
              <w:rPr>
                <w:rFonts w:ascii="黑体" w:hAnsi="黑体" w:eastAsia="黑体"/>
                <w:sz w:val="20"/>
              </w:rPr>
              <w:t>Precision</w:t>
            </w:r>
          </w:p>
        </w:tc>
        <w:tc>
          <w:tcPr>
            <w:tcW w:type="dxa" w:w="1234"/>
          </w:tcPr>
          <w:p>
            <w:r>
              <w:rPr>
                <w:rFonts w:ascii="黑体" w:hAnsi="黑体" w:eastAsia="黑体"/>
                <w:sz w:val="20"/>
              </w:rPr>
              <w:t>Recall</w:t>
            </w:r>
          </w:p>
        </w:tc>
        <w:tc>
          <w:tcPr>
            <w:tcW w:type="dxa" w:w="1234"/>
          </w:tcPr>
          <w:p>
            <w:r>
              <w:rPr>
                <w:rFonts w:ascii="黑体" w:hAnsi="黑体" w:eastAsia="黑体"/>
                <w:sz w:val="20"/>
              </w:rPr>
              <w:t>F1</w:t>
            </w:r>
          </w:p>
        </w:tc>
        <w:tc>
          <w:tcPr>
            <w:tcW w:type="dxa" w:w="1234"/>
          </w:tcPr>
          <w:p>
            <w:r>
              <w:rPr>
                <w:rFonts w:ascii="黑体" w:hAnsi="黑体" w:eastAsia="黑体"/>
                <w:sz w:val="20"/>
              </w:rPr>
              <w:t>Samples</w:t>
            </w:r>
          </w:p>
        </w:tc>
      </w:tr>
      <w:tr>
        <w:tc>
          <w:tcPr>
            <w:tcW w:type="dxa" w:w="1234"/>
          </w:tcPr>
          <w:p>
            <w:r>
              <w:rPr>
                <w:rFonts w:ascii="宋体" w:hAnsi="宋体" w:eastAsia="宋体"/>
                <w:sz w:val="19"/>
              </w:rPr>
              <w:t>Test</w:t>
            </w:r>
          </w:p>
        </w:tc>
        <w:tc>
          <w:tcPr>
            <w:tcW w:type="dxa" w:w="1234"/>
          </w:tcPr>
          <w:p>
            <w:r>
              <w:rPr>
                <w:rFonts w:ascii="宋体" w:hAnsi="宋体" w:eastAsia="宋体"/>
                <w:sz w:val="19"/>
              </w:rPr>
              <w:t>0.0912</w:t>
            </w:r>
          </w:p>
        </w:tc>
        <w:tc>
          <w:tcPr>
            <w:tcW w:type="dxa" w:w="1234"/>
          </w:tcPr>
          <w:p>
            <w:r>
              <w:rPr>
                <w:rFonts w:ascii="宋体" w:hAnsi="宋体" w:eastAsia="宋体"/>
                <w:sz w:val="19"/>
              </w:rPr>
              <w:t>0.9665</w:t>
            </w:r>
          </w:p>
        </w:tc>
        <w:tc>
          <w:tcPr>
            <w:tcW w:type="dxa" w:w="1234"/>
          </w:tcPr>
          <w:p>
            <w:r>
              <w:rPr>
                <w:rFonts w:ascii="宋体" w:hAnsi="宋体" w:eastAsia="宋体"/>
                <w:sz w:val="19"/>
              </w:rPr>
              <w:t>0.9301</w:t>
            </w:r>
          </w:p>
        </w:tc>
        <w:tc>
          <w:tcPr>
            <w:tcW w:type="dxa" w:w="1234"/>
          </w:tcPr>
          <w:p>
            <w:r>
              <w:rPr>
                <w:rFonts w:ascii="宋体" w:hAnsi="宋体" w:eastAsia="宋体"/>
                <w:sz w:val="19"/>
              </w:rPr>
              <w:t>0.9732</w:t>
            </w:r>
          </w:p>
        </w:tc>
        <w:tc>
          <w:tcPr>
            <w:tcW w:type="dxa" w:w="1234"/>
          </w:tcPr>
          <w:p>
            <w:r>
              <w:rPr>
                <w:rFonts w:ascii="宋体" w:hAnsi="宋体" w:eastAsia="宋体"/>
                <w:sz w:val="19"/>
              </w:rPr>
              <w:t>0.9511</w:t>
            </w:r>
          </w:p>
        </w:tc>
        <w:tc>
          <w:tcPr>
            <w:tcW w:type="dxa" w:w="1234"/>
          </w:tcPr>
          <w:p>
            <w:r>
              <w:rPr>
                <w:rFonts w:ascii="宋体" w:hAnsi="宋体" w:eastAsia="宋体"/>
                <w:sz w:val="19"/>
              </w:rPr>
              <w:t>1224</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sz w:val="20"/>
              </w:rPr>
              <w:t>指标</w:t>
            </w:r>
          </w:p>
        </w:tc>
        <w:tc>
          <w:tcPr>
            <w:tcW w:type="dxa" w:w="2880"/>
          </w:tcPr>
          <w:p>
            <w:r>
              <w:rPr>
                <w:rFonts w:ascii="黑体" w:hAnsi="黑体" w:eastAsia="黑体"/>
                <w:sz w:val="20"/>
              </w:rPr>
              <w:t>数量</w:t>
            </w:r>
          </w:p>
        </w:tc>
        <w:tc>
          <w:tcPr>
            <w:tcW w:type="dxa" w:w="2880"/>
          </w:tcPr>
          <w:p>
            <w:r>
              <w:rPr>
                <w:rFonts w:ascii="黑体" w:hAnsi="黑体" w:eastAsia="黑体"/>
                <w:sz w:val="20"/>
              </w:rPr>
              <w:t>含义</w:t>
            </w:r>
          </w:p>
        </w:tc>
      </w:tr>
      <w:tr>
        <w:tc>
          <w:tcPr>
            <w:tcW w:type="dxa" w:w="2880"/>
          </w:tcPr>
          <w:p>
            <w:r>
              <w:rPr>
                <w:rFonts w:ascii="宋体" w:hAnsi="宋体" w:eastAsia="宋体"/>
                <w:sz w:val="19"/>
              </w:rPr>
              <w:t>TP</w:t>
            </w:r>
          </w:p>
        </w:tc>
        <w:tc>
          <w:tcPr>
            <w:tcW w:type="dxa" w:w="2880"/>
          </w:tcPr>
          <w:p>
            <w:r>
              <w:rPr>
                <w:rFonts w:ascii="宋体" w:hAnsi="宋体" w:eastAsia="宋体"/>
                <w:sz w:val="19"/>
              </w:rPr>
              <w:t>399</w:t>
            </w:r>
          </w:p>
        </w:tc>
        <w:tc>
          <w:tcPr>
            <w:tcW w:type="dxa" w:w="2880"/>
          </w:tcPr>
          <w:p>
            <w:r>
              <w:rPr>
                <w:rFonts w:ascii="宋体" w:hAnsi="宋体" w:eastAsia="宋体"/>
                <w:sz w:val="19"/>
              </w:rPr>
              <w:t>真实为 in_lane，预测为 in_lane</w:t>
            </w:r>
          </w:p>
        </w:tc>
      </w:tr>
      <w:tr>
        <w:tc>
          <w:tcPr>
            <w:tcW w:type="dxa" w:w="2880"/>
          </w:tcPr>
          <w:p>
            <w:r>
              <w:rPr>
                <w:rFonts w:ascii="宋体" w:hAnsi="宋体" w:eastAsia="宋体"/>
                <w:sz w:val="19"/>
              </w:rPr>
              <w:t>TN</w:t>
            </w:r>
          </w:p>
        </w:tc>
        <w:tc>
          <w:tcPr>
            <w:tcW w:type="dxa" w:w="2880"/>
          </w:tcPr>
          <w:p>
            <w:r>
              <w:rPr>
                <w:rFonts w:ascii="宋体" w:hAnsi="宋体" w:eastAsia="宋体"/>
                <w:sz w:val="19"/>
              </w:rPr>
              <w:t>784</w:t>
            </w:r>
          </w:p>
        </w:tc>
        <w:tc>
          <w:tcPr>
            <w:tcW w:type="dxa" w:w="2880"/>
          </w:tcPr>
          <w:p>
            <w:r>
              <w:rPr>
                <w:rFonts w:ascii="宋体" w:hAnsi="宋体" w:eastAsia="宋体"/>
                <w:sz w:val="19"/>
              </w:rPr>
              <w:t>真实为 out_lane，预测为 out_lane</w:t>
            </w:r>
          </w:p>
        </w:tc>
      </w:tr>
      <w:tr>
        <w:tc>
          <w:tcPr>
            <w:tcW w:type="dxa" w:w="2880"/>
          </w:tcPr>
          <w:p>
            <w:r>
              <w:rPr>
                <w:rFonts w:ascii="宋体" w:hAnsi="宋体" w:eastAsia="宋体"/>
                <w:sz w:val="19"/>
              </w:rPr>
              <w:t>FP</w:t>
            </w:r>
          </w:p>
        </w:tc>
        <w:tc>
          <w:tcPr>
            <w:tcW w:type="dxa" w:w="2880"/>
          </w:tcPr>
          <w:p>
            <w:r>
              <w:rPr>
                <w:rFonts w:ascii="宋体" w:hAnsi="宋体" w:eastAsia="宋体"/>
                <w:sz w:val="19"/>
              </w:rPr>
              <w:t>30</w:t>
            </w:r>
          </w:p>
        </w:tc>
        <w:tc>
          <w:tcPr>
            <w:tcW w:type="dxa" w:w="2880"/>
          </w:tcPr>
          <w:p>
            <w:r>
              <w:rPr>
                <w:rFonts w:ascii="宋体" w:hAnsi="宋体" w:eastAsia="宋体"/>
                <w:sz w:val="19"/>
              </w:rPr>
              <w:t>真实为 out_lane，误判为 in_lane</w:t>
            </w:r>
          </w:p>
        </w:tc>
      </w:tr>
      <w:tr>
        <w:tc>
          <w:tcPr>
            <w:tcW w:type="dxa" w:w="2880"/>
          </w:tcPr>
          <w:p>
            <w:r>
              <w:rPr>
                <w:rFonts w:ascii="宋体" w:hAnsi="宋体" w:eastAsia="宋体"/>
                <w:sz w:val="19"/>
              </w:rPr>
              <w:t>FN</w:t>
            </w:r>
          </w:p>
        </w:tc>
        <w:tc>
          <w:tcPr>
            <w:tcW w:type="dxa" w:w="2880"/>
          </w:tcPr>
          <w:p>
            <w:r>
              <w:rPr>
                <w:rFonts w:ascii="宋体" w:hAnsi="宋体" w:eastAsia="宋体"/>
                <w:sz w:val="19"/>
              </w:rPr>
              <w:t>11</w:t>
            </w:r>
          </w:p>
        </w:tc>
        <w:tc>
          <w:tcPr>
            <w:tcW w:type="dxa" w:w="2880"/>
          </w:tcPr>
          <w:p>
            <w:r>
              <w:rPr>
                <w:rFonts w:ascii="宋体" w:hAnsi="宋体" w:eastAsia="宋体"/>
                <w:sz w:val="19"/>
              </w:rPr>
              <w:t>真实为 in_lane，误判为 out_lane</w:t>
            </w:r>
          </w:p>
        </w:tc>
      </w:tr>
    </w:tbl>
    <w:p>
      <w:pPr>
        <w:spacing w:line="300" w:lineRule="auto"/>
        <w:ind w:firstLine="420"/>
      </w:pPr>
      <w:r>
        <w:rPr>
          <w:rFonts w:ascii="宋体" w:hAnsi="宋体" w:eastAsia="宋体"/>
          <w:sz w:val="21"/>
        </w:rPr>
        <w:t>从混淆矩阵可以看出，模型错误主要集中在 FP，即部分 out_lane 样本被误判为 in_lane。后续可以通过增加困难负样本、调整分类阈值或优化 ROI 偏移策略继续降低该类误判。本实验当前阶段的 F1 已达到 0.9511，满足课程作业对简单模型验证的要求。</w:t>
      </w:r>
    </w:p>
    <w:p>
      <w:pPr>
        <w:pStyle w:val="Heading2"/>
        <w:jc w:val="left"/>
      </w:pPr>
      <w:r>
        <w:rPr>
          <w:rFonts w:ascii="黑体" w:hAnsi="黑体" w:eastAsia="黑体"/>
          <w:sz w:val="24"/>
        </w:rPr>
        <w:t>6.3 ONNX 与 ONNX Runtime 验证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sz w:val="20"/>
              </w:rPr>
              <w:t>样本</w:t>
            </w:r>
          </w:p>
        </w:tc>
        <w:tc>
          <w:tcPr>
            <w:tcW w:type="dxa" w:w="1728"/>
          </w:tcPr>
          <w:p>
            <w:r>
              <w:rPr>
                <w:rFonts w:ascii="黑体" w:hAnsi="黑体" w:eastAsia="黑体"/>
                <w:sz w:val="20"/>
              </w:rPr>
              <w:t>预测类别</w:t>
            </w:r>
          </w:p>
        </w:tc>
        <w:tc>
          <w:tcPr>
            <w:tcW w:type="dxa" w:w="1728"/>
          </w:tcPr>
          <w:p>
            <w:r>
              <w:rPr>
                <w:rFonts w:ascii="黑体" w:hAnsi="黑体" w:eastAsia="黑体"/>
                <w:sz w:val="20"/>
              </w:rPr>
              <w:t>probability_in_lane</w:t>
            </w:r>
          </w:p>
        </w:tc>
        <w:tc>
          <w:tcPr>
            <w:tcW w:type="dxa" w:w="1728"/>
          </w:tcPr>
          <w:p>
            <w:r>
              <w:rPr>
                <w:rFonts w:ascii="黑体" w:hAnsi="黑体" w:eastAsia="黑体"/>
                <w:sz w:val="20"/>
              </w:rPr>
              <w:t>logit</w:t>
            </w:r>
          </w:p>
        </w:tc>
        <w:tc>
          <w:tcPr>
            <w:tcW w:type="dxa" w:w="1728"/>
          </w:tcPr>
          <w:p>
            <w:r>
              <w:rPr>
                <w:rFonts w:ascii="黑体" w:hAnsi="黑体" w:eastAsia="黑体"/>
                <w:sz w:val="20"/>
              </w:rPr>
              <w:t>推理后端</w:t>
            </w:r>
          </w:p>
        </w:tc>
      </w:tr>
      <w:tr>
        <w:tc>
          <w:tcPr>
            <w:tcW w:type="dxa" w:w="1728"/>
          </w:tcPr>
          <w:p>
            <w:r>
              <w:rPr>
                <w:rFonts w:ascii="宋体" w:hAnsi="宋体" w:eastAsia="宋体"/>
                <w:sz w:val="19"/>
              </w:rPr>
              <w:t>test/in_lane/..._center.png</w:t>
            </w:r>
          </w:p>
        </w:tc>
        <w:tc>
          <w:tcPr>
            <w:tcW w:type="dxa" w:w="1728"/>
          </w:tcPr>
          <w:p>
            <w:r>
              <w:rPr>
                <w:rFonts w:ascii="宋体" w:hAnsi="宋体" w:eastAsia="宋体"/>
                <w:sz w:val="19"/>
              </w:rPr>
              <w:t>in_lane</w:t>
            </w:r>
          </w:p>
        </w:tc>
        <w:tc>
          <w:tcPr>
            <w:tcW w:type="dxa" w:w="1728"/>
          </w:tcPr>
          <w:p>
            <w:r>
              <w:rPr>
                <w:rFonts w:ascii="宋体" w:hAnsi="宋体" w:eastAsia="宋体"/>
                <w:sz w:val="19"/>
              </w:rPr>
              <w:t>0.9432</w:t>
            </w:r>
          </w:p>
        </w:tc>
        <w:tc>
          <w:tcPr>
            <w:tcW w:type="dxa" w:w="1728"/>
          </w:tcPr>
          <w:p>
            <w:r>
              <w:rPr>
                <w:rFonts w:ascii="宋体" w:hAnsi="宋体" w:eastAsia="宋体"/>
                <w:sz w:val="19"/>
              </w:rPr>
              <w:t>2.8098</w:t>
            </w:r>
          </w:p>
        </w:tc>
        <w:tc>
          <w:tcPr>
            <w:tcW w:type="dxa" w:w="1728"/>
          </w:tcPr>
          <w:p>
            <w:r>
              <w:rPr>
                <w:rFonts w:ascii="宋体" w:hAnsi="宋体" w:eastAsia="宋体"/>
                <w:sz w:val="19"/>
              </w:rPr>
              <w:t>CPUExecutionProvider</w:t>
            </w:r>
          </w:p>
        </w:tc>
      </w:tr>
      <w:tr>
        <w:tc>
          <w:tcPr>
            <w:tcW w:type="dxa" w:w="1728"/>
          </w:tcPr>
          <w:p>
            <w:r>
              <w:rPr>
                <w:rFonts w:ascii="宋体" w:hAnsi="宋体" w:eastAsia="宋体"/>
                <w:sz w:val="19"/>
              </w:rPr>
              <w:t>test/out_lane/..._right.png</w:t>
            </w:r>
          </w:p>
        </w:tc>
        <w:tc>
          <w:tcPr>
            <w:tcW w:type="dxa" w:w="1728"/>
          </w:tcPr>
          <w:p>
            <w:r>
              <w:rPr>
                <w:rFonts w:ascii="宋体" w:hAnsi="宋体" w:eastAsia="宋体"/>
                <w:sz w:val="19"/>
              </w:rPr>
              <w:t>out_lane</w:t>
            </w:r>
          </w:p>
        </w:tc>
        <w:tc>
          <w:tcPr>
            <w:tcW w:type="dxa" w:w="1728"/>
          </w:tcPr>
          <w:p>
            <w:r>
              <w:rPr>
                <w:rFonts w:ascii="宋体" w:hAnsi="宋体" w:eastAsia="宋体"/>
                <w:sz w:val="19"/>
              </w:rPr>
              <w:t>0.0000</w:t>
            </w:r>
          </w:p>
        </w:tc>
        <w:tc>
          <w:tcPr>
            <w:tcW w:type="dxa" w:w="1728"/>
          </w:tcPr>
          <w:p>
            <w:r>
              <w:rPr>
                <w:rFonts w:ascii="宋体" w:hAnsi="宋体" w:eastAsia="宋体"/>
                <w:sz w:val="19"/>
              </w:rPr>
              <w:t>-27.0708</w:t>
            </w:r>
          </w:p>
        </w:tc>
        <w:tc>
          <w:tcPr>
            <w:tcW w:type="dxa" w:w="1728"/>
          </w:tcPr>
          <w:p>
            <w:r>
              <w:rPr>
                <w:rFonts w:ascii="宋体" w:hAnsi="宋体" w:eastAsia="宋体"/>
                <w:sz w:val="19"/>
              </w:rPr>
              <w:t>CPUExecutionProvider</w:t>
            </w:r>
          </w:p>
        </w:tc>
      </w:tr>
    </w:tbl>
    <w:p>
      <w:pPr>
        <w:spacing w:line="300" w:lineRule="auto"/>
        <w:ind w:firstLine="420"/>
      </w:pPr>
      <w:r>
        <w:rPr>
          <w:rFonts w:ascii="宋体" w:hAnsi="宋体" w:eastAsia="宋体"/>
          <w:sz w:val="21"/>
        </w:rPr>
        <w:t>ONNX Runtime 推理结果表明，导出的 lane_binary_classifier.onnx 可以脱离 PyTorch 独立运行。真实 test 集 in_lane 样本的 in_lane 概率为 0.9432，高于 0.5 阈值，因此预测为车道内；真实 test 集 out_lane 样本的 in_lane 概率接近 0，低于阈值，因此预测为车道外。这证明模型已完成从训练框架到部署推理格式的闭环验证。</w:t>
      </w:r>
    </w:p>
    <w:p>
      <w:pPr>
        <w:jc w:val="center"/>
      </w:pPr>
      <w:r>
        <w:drawing>
          <wp:inline xmlns:a="http://schemas.openxmlformats.org/drawingml/2006/main" xmlns:pic="http://schemas.openxmlformats.org/drawingml/2006/picture">
            <wp:extent cx="6035040" cy="2199209"/>
            <wp:docPr id="2" name="Picture 2"/>
            <wp:cNvGraphicFramePr>
              <a:graphicFrameLocks noChangeAspect="1"/>
            </wp:cNvGraphicFramePr>
            <a:graphic>
              <a:graphicData uri="http://schemas.openxmlformats.org/drawingml/2006/picture">
                <pic:pic>
                  <pic:nvPicPr>
                    <pic:cNvPr id="0" name="onnx_runtime_tusimple_examples.png"/>
                    <pic:cNvPicPr/>
                  </pic:nvPicPr>
                  <pic:blipFill>
                    <a:blip r:embed="rId10"/>
                    <a:stretch>
                      <a:fillRect/>
                    </a:stretch>
                  </pic:blipFill>
                  <pic:spPr>
                    <a:xfrm>
                      <a:off x="0" y="0"/>
                      <a:ext cx="6035040" cy="2199209"/>
                    </a:xfrm>
                    <a:prstGeom prst="rect"/>
                  </pic:spPr>
                </pic:pic>
              </a:graphicData>
            </a:graphic>
          </wp:inline>
        </w:drawing>
      </w:r>
    </w:p>
    <w:p>
      <w:pPr>
        <w:jc w:val="center"/>
      </w:pPr>
      <w:r>
        <w:rPr>
          <w:rFonts w:ascii="宋体" w:hAnsi="宋体" w:eastAsia="宋体"/>
          <w:sz w:val="18"/>
        </w:rPr>
        <w:t>图 2  ONNX Runtime 在真实 test ROI 上的推理结果展示</w:t>
      </w:r>
    </w:p>
    <w:p>
      <w:pPr>
        <w:spacing w:before="60" w:after="120"/>
        <w:ind w:left="360"/>
      </w:pPr>
      <w:r>
        <w:rPr>
          <w:rFonts w:ascii="Consolas" w:hAnsi="Consolas" w:eastAsia="Consolas"/>
          <w:sz w:val="17"/>
        </w:rPr>
        <w:t>session = ort.InferenceSession(args.onnx_model, providers=[provider])</w:t>
        <w:br/>
        <w:t>input_name = session.get_inputs()[0].name</w:t>
        <w:br/>
        <w:t>output_name = session.get_outputs()[0].name</w:t>
        <w:br/>
        <w:t>image = preprocess(args.image, image_config)</w:t>
        <w:br/>
        <w:t>output = session.run([output_name], {input_name: image})[0]</w:t>
        <w:br/>
        <w:br/>
        <w:t>logit = float(np.asarray(output).reshape(-1)[0])</w:t>
        <w:br/>
        <w:t>probability = float(sigmoid(np.array([logit], dtype=np.float32))[0])</w:t>
        <w:br/>
        <w:t>target = 1 if probability &gt;= args.threshold else 0</w:t>
      </w:r>
    </w:p>
    <w:p>
      <w:pPr>
        <w:pStyle w:val="Heading2"/>
        <w:jc w:val="left"/>
      </w:pPr>
      <w:r>
        <w:rPr>
          <w:rFonts w:ascii="黑体" w:hAnsi="黑体" w:eastAsia="黑体"/>
          <w:sz w:val="24"/>
        </w:rPr>
        <w:t>6.4 误差样例说明</w:t>
      </w:r>
    </w:p>
    <w:p>
      <w:pPr>
        <w:spacing w:line="300" w:lineRule="auto"/>
        <w:ind w:firstLine="420"/>
      </w:pPr>
      <w:r>
        <w:rPr>
          <w:rFonts w:ascii="宋体" w:hAnsi="宋体" w:eastAsia="宋体"/>
          <w:sz w:val="21"/>
        </w:rPr>
        <w:t>在 ONNX Runtime 单图测试中，也发现一张 out_lane 样本被误判为 in_lane，probability_in_lane 为 0.7757。这与测试集混淆矩阵中 FP=30 的现象一致，说明模型对部分靠近车道边界、纹理与车道中心相似的负样本仍存在误判风险。该问题可作为后续优化方向，而不影响当前模型作为课程作业基础方案的有效性。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sz w:val="20"/>
              </w:rPr>
              <w:t>样本</w:t>
            </w:r>
          </w:p>
        </w:tc>
        <w:tc>
          <w:tcPr>
            <w:tcW w:type="dxa" w:w="1728"/>
          </w:tcPr>
          <w:p>
            <w:r>
              <w:rPr>
                <w:rFonts w:ascii="黑体" w:hAnsi="黑体" w:eastAsia="黑体"/>
                <w:sz w:val="20"/>
              </w:rPr>
              <w:t>真实类别</w:t>
            </w:r>
          </w:p>
        </w:tc>
        <w:tc>
          <w:tcPr>
            <w:tcW w:type="dxa" w:w="1728"/>
          </w:tcPr>
          <w:p>
            <w:r>
              <w:rPr>
                <w:rFonts w:ascii="黑体" w:hAnsi="黑体" w:eastAsia="黑体"/>
                <w:sz w:val="20"/>
              </w:rPr>
              <w:t>预测类别</w:t>
            </w:r>
          </w:p>
        </w:tc>
        <w:tc>
          <w:tcPr>
            <w:tcW w:type="dxa" w:w="1728"/>
          </w:tcPr>
          <w:p>
            <w:r>
              <w:rPr>
                <w:rFonts w:ascii="黑体" w:hAnsi="黑体" w:eastAsia="黑体"/>
                <w:sz w:val="20"/>
              </w:rPr>
              <w:t>probability_in_lane</w:t>
            </w:r>
          </w:p>
        </w:tc>
        <w:tc>
          <w:tcPr>
            <w:tcW w:type="dxa" w:w="1728"/>
          </w:tcPr>
          <w:p>
            <w:r>
              <w:rPr>
                <w:rFonts w:ascii="黑体" w:hAnsi="黑体" w:eastAsia="黑体"/>
                <w:sz w:val="20"/>
              </w:rPr>
              <w:t>说明</w:t>
            </w:r>
          </w:p>
        </w:tc>
      </w:tr>
      <w:tr>
        <w:tc>
          <w:tcPr>
            <w:tcW w:type="dxa" w:w="1728"/>
          </w:tcPr>
          <w:p>
            <w:r>
              <w:rPr>
                <w:rFonts w:ascii="宋体" w:hAnsi="宋体" w:eastAsia="宋体"/>
                <w:sz w:val="19"/>
              </w:rPr>
              <w:t>test/out_lane/..._right.png</w:t>
            </w:r>
          </w:p>
        </w:tc>
        <w:tc>
          <w:tcPr>
            <w:tcW w:type="dxa" w:w="1728"/>
          </w:tcPr>
          <w:p>
            <w:r>
              <w:rPr>
                <w:rFonts w:ascii="宋体" w:hAnsi="宋体" w:eastAsia="宋体"/>
                <w:sz w:val="19"/>
              </w:rPr>
              <w:t>out_lane</w:t>
            </w:r>
          </w:p>
        </w:tc>
        <w:tc>
          <w:tcPr>
            <w:tcW w:type="dxa" w:w="1728"/>
          </w:tcPr>
          <w:p>
            <w:r>
              <w:rPr>
                <w:rFonts w:ascii="宋体" w:hAnsi="宋体" w:eastAsia="宋体"/>
                <w:sz w:val="19"/>
              </w:rPr>
              <w:t>in_lane</w:t>
            </w:r>
          </w:p>
        </w:tc>
        <w:tc>
          <w:tcPr>
            <w:tcW w:type="dxa" w:w="1728"/>
          </w:tcPr>
          <w:p>
            <w:r>
              <w:rPr>
                <w:rFonts w:ascii="宋体" w:hAnsi="宋体" w:eastAsia="宋体"/>
                <w:sz w:val="19"/>
              </w:rPr>
              <w:t>0.7757</w:t>
            </w:r>
          </w:p>
        </w:tc>
        <w:tc>
          <w:tcPr>
            <w:tcW w:type="dxa" w:w="1728"/>
          </w:tcPr>
          <w:p>
            <w:r>
              <w:rPr>
                <w:rFonts w:ascii="宋体" w:hAnsi="宋体" w:eastAsia="宋体"/>
                <w:sz w:val="19"/>
              </w:rPr>
              <w:t>典型 FP 误判，可用于误差分析</w:t>
            </w:r>
          </w:p>
        </w:tc>
      </w:tr>
    </w:tbl>
    <w:p>
      <w:pPr>
        <w:pStyle w:val="Heading1"/>
        <w:jc w:val="left"/>
      </w:pPr>
      <w:r>
        <w:rPr>
          <w:rFonts w:ascii="黑体" w:hAnsi="黑体" w:eastAsia="黑体"/>
          <w:sz w:val="28"/>
        </w:rPr>
        <w:t>七、问题记录与解决方案</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sz w:val="20"/>
              </w:rPr>
              <w:t>问题</w:t>
            </w:r>
          </w:p>
        </w:tc>
        <w:tc>
          <w:tcPr>
            <w:tcW w:type="dxa" w:w="2880"/>
          </w:tcPr>
          <w:p>
            <w:r>
              <w:rPr>
                <w:rFonts w:ascii="黑体" w:hAnsi="黑体" w:eastAsia="黑体"/>
                <w:sz w:val="20"/>
              </w:rPr>
              <w:t>原因</w:t>
            </w:r>
          </w:p>
        </w:tc>
        <w:tc>
          <w:tcPr>
            <w:tcW w:type="dxa" w:w="2880"/>
          </w:tcPr>
          <w:p>
            <w:r>
              <w:rPr>
                <w:rFonts w:ascii="黑体" w:hAnsi="黑体" w:eastAsia="黑体"/>
                <w:sz w:val="20"/>
              </w:rPr>
              <w:t>解决方法</w:t>
            </w:r>
          </w:p>
        </w:tc>
      </w:tr>
      <w:tr>
        <w:tc>
          <w:tcPr>
            <w:tcW w:type="dxa" w:w="2880"/>
          </w:tcPr>
          <w:p>
            <w:r>
              <w:rPr>
                <w:rFonts w:ascii="宋体" w:hAnsi="宋体" w:eastAsia="宋体"/>
                <w:sz w:val="19"/>
              </w:rPr>
              <w:t>pip 命令误连导致 .pip is not a valid editable requirement</w:t>
            </w:r>
          </w:p>
        </w:tc>
        <w:tc>
          <w:tcPr>
            <w:tcW w:type="dxa" w:w="2880"/>
          </w:tcPr>
          <w:p>
            <w:r>
              <w:rPr>
                <w:rFonts w:ascii="宋体" w:hAnsi="宋体" w:eastAsia="宋体"/>
                <w:sz w:val="19"/>
              </w:rPr>
              <w:t>两条 pip 命令被连续输入成一条命令</w:t>
            </w:r>
          </w:p>
        </w:tc>
        <w:tc>
          <w:tcPr>
            <w:tcW w:type="dxa" w:w="2880"/>
          </w:tcPr>
          <w:p>
            <w:r>
              <w:rPr>
                <w:rFonts w:ascii="宋体" w:hAnsi="宋体" w:eastAsia="宋体"/>
                <w:sz w:val="19"/>
              </w:rPr>
              <w:t>分开执行 pip install -r requirements.txt 和 pip install -e .</w:t>
            </w:r>
          </w:p>
        </w:tc>
      </w:tr>
      <w:tr>
        <w:tc>
          <w:tcPr>
            <w:tcW w:type="dxa" w:w="2880"/>
          </w:tcPr>
          <w:p>
            <w:r>
              <w:rPr>
                <w:rFonts w:ascii="宋体" w:hAnsi="宋体" w:eastAsia="宋体"/>
                <w:sz w:val="19"/>
              </w:rPr>
              <w:t>TensorBoard 提示未安装 TensorFlow</w:t>
            </w:r>
          </w:p>
        </w:tc>
        <w:tc>
          <w:tcPr>
            <w:tcW w:type="dxa" w:w="2880"/>
          </w:tcPr>
          <w:p>
            <w:r>
              <w:rPr>
                <w:rFonts w:ascii="宋体" w:hAnsi="宋体" w:eastAsia="宋体"/>
                <w:sz w:val="19"/>
              </w:rPr>
              <w:t>TensorBoard 最早属于 TensorFlow 工具链，会检测 TensorFlow</w:t>
            </w:r>
          </w:p>
        </w:tc>
        <w:tc>
          <w:tcPr>
            <w:tcW w:type="dxa" w:w="2880"/>
          </w:tcPr>
          <w:p>
            <w:r>
              <w:rPr>
                <w:rFonts w:ascii="宋体" w:hAnsi="宋体" w:eastAsia="宋体"/>
                <w:sz w:val="19"/>
              </w:rPr>
              <w:t>本实验使用 PyTorch 写入 TensorBoard，提示不影响曲线显示</w:t>
            </w:r>
          </w:p>
        </w:tc>
      </w:tr>
      <w:tr>
        <w:tc>
          <w:tcPr>
            <w:tcW w:type="dxa" w:w="2880"/>
          </w:tcPr>
          <w:p>
            <w:r>
              <w:rPr>
                <w:rFonts w:ascii="宋体" w:hAnsi="宋体" w:eastAsia="宋体"/>
                <w:sz w:val="19"/>
              </w:rPr>
              <w:t>ONNX 导出缺少 onnxscript</w:t>
            </w:r>
          </w:p>
        </w:tc>
        <w:tc>
          <w:tcPr>
            <w:tcW w:type="dxa" w:w="2880"/>
          </w:tcPr>
          <w:p>
            <w:r>
              <w:rPr>
                <w:rFonts w:ascii="宋体" w:hAnsi="宋体" w:eastAsia="宋体"/>
                <w:sz w:val="19"/>
              </w:rPr>
              <w:t>新版 PyTorch ONNX 导出器需要额外依赖</w:t>
            </w:r>
          </w:p>
        </w:tc>
        <w:tc>
          <w:tcPr>
            <w:tcW w:type="dxa" w:w="2880"/>
          </w:tcPr>
          <w:p>
            <w:r>
              <w:rPr>
                <w:rFonts w:ascii="宋体" w:hAnsi="宋体" w:eastAsia="宋体"/>
                <w:sz w:val="19"/>
              </w:rPr>
              <w:t>补充 onnx、onnxscript、onnxruntime 到 requirements.txt</w:t>
            </w:r>
          </w:p>
        </w:tc>
      </w:tr>
      <w:tr>
        <w:tc>
          <w:tcPr>
            <w:tcW w:type="dxa" w:w="2880"/>
          </w:tcPr>
          <w:p>
            <w:r>
              <w:rPr>
                <w:rFonts w:ascii="宋体" w:hAnsi="宋体" w:eastAsia="宋体"/>
                <w:sz w:val="19"/>
              </w:rPr>
              <w:t>ONNX 导出在 Windows 中文终端出现编码问题</w:t>
            </w:r>
          </w:p>
        </w:tc>
        <w:tc>
          <w:tcPr>
            <w:tcW w:type="dxa" w:w="2880"/>
          </w:tcPr>
          <w:p>
            <w:r>
              <w:rPr>
                <w:rFonts w:ascii="宋体" w:hAnsi="宋体" w:eastAsia="宋体"/>
                <w:sz w:val="19"/>
              </w:rPr>
              <w:t>新版导出器打印特殊符号时 GBK 控制台无法编码</w:t>
            </w:r>
          </w:p>
        </w:tc>
        <w:tc>
          <w:tcPr>
            <w:tcW w:type="dxa" w:w="2880"/>
          </w:tcPr>
          <w:p>
            <w:r>
              <w:rPr>
                <w:rFonts w:ascii="宋体" w:hAnsi="宋体" w:eastAsia="宋体"/>
                <w:sz w:val="19"/>
              </w:rPr>
              <w:t>在 export_onnx.py 中使用 dynamo=False，切换到更稳定的 legacy 导出路径</w:t>
            </w:r>
          </w:p>
        </w:tc>
      </w:tr>
      <w:tr>
        <w:tc>
          <w:tcPr>
            <w:tcW w:type="dxa" w:w="2880"/>
          </w:tcPr>
          <w:p>
            <w:r>
              <w:rPr>
                <w:rFonts w:ascii="宋体" w:hAnsi="宋体" w:eastAsia="宋体"/>
                <w:sz w:val="19"/>
              </w:rPr>
              <w:t>GitHub push 被 workflow 权限拒绝</w:t>
            </w:r>
          </w:p>
        </w:tc>
        <w:tc>
          <w:tcPr>
            <w:tcW w:type="dxa" w:w="2880"/>
          </w:tcPr>
          <w:p>
            <w:r>
              <w:rPr>
                <w:rFonts w:ascii="宋体" w:hAnsi="宋体" w:eastAsia="宋体"/>
                <w:sz w:val="19"/>
              </w:rPr>
              <w:t>Personal Access Token 缺少 workflow scope，不能上传 .github/workflows 文件</w:t>
            </w:r>
          </w:p>
        </w:tc>
        <w:tc>
          <w:tcPr>
            <w:tcW w:type="dxa" w:w="2880"/>
          </w:tcPr>
          <w:p>
            <w:r>
              <w:rPr>
                <w:rFonts w:ascii="宋体" w:hAnsi="宋体" w:eastAsia="宋体"/>
                <w:sz w:val="19"/>
              </w:rPr>
              <w:t>移除非必要 CI 文件后成功上传项目</w:t>
            </w:r>
          </w:p>
        </w:tc>
      </w:tr>
    </w:tbl>
    <w:p>
      <w:pPr>
        <w:pStyle w:val="Heading1"/>
        <w:jc w:val="left"/>
      </w:pPr>
      <w:r>
        <w:rPr>
          <w:rFonts w:ascii="黑体" w:hAnsi="黑体" w:eastAsia="黑体"/>
          <w:sz w:val="28"/>
        </w:rPr>
        <w:t>八、方案优缺点分析</w:t>
      </w:r>
    </w:p>
    <w:p>
      <w:pPr>
        <w:pStyle w:val="Heading2"/>
        <w:jc w:val="left"/>
      </w:pPr>
      <w:r>
        <w:rPr>
          <w:rFonts w:ascii="黑体" w:hAnsi="黑体" w:eastAsia="黑体"/>
          <w:sz w:val="24"/>
        </w:rPr>
        <w:t>8.1 优点</w:t>
      </w:r>
    </w:p>
    <w:p>
      <w:pPr>
        <w:pStyle w:val="ListBullet"/>
      </w:pPr>
      <w:r>
        <w:rPr>
          <w:rFonts w:ascii="宋体" w:hAnsi="宋体" w:eastAsia="宋体"/>
          <w:sz w:val="21"/>
        </w:rPr>
        <w:t>模型结构轻量，参数量较小，训练和推理速度快，适合作业和快速原型验证。</w:t>
      </w:r>
    </w:p>
    <w:p>
      <w:pPr>
        <w:pStyle w:val="ListBullet"/>
      </w:pPr>
      <w:r>
        <w:rPr>
          <w:rFonts w:ascii="宋体" w:hAnsi="宋体" w:eastAsia="宋体"/>
          <w:sz w:val="21"/>
        </w:rPr>
        <w:t>ROI 输入减少了整图中的无关背景，使模型更关注车辆前方道路区域。</w:t>
      </w:r>
    </w:p>
    <w:p>
      <w:pPr>
        <w:pStyle w:val="ListBullet"/>
      </w:pPr>
      <w:r>
        <w:rPr>
          <w:rFonts w:ascii="宋体" w:hAnsi="宋体" w:eastAsia="宋体"/>
          <w:sz w:val="21"/>
        </w:rPr>
        <w:t>训练流程完整，包含数据加载、增强、指标记录、模型保存和 TensorBoard 可视化。</w:t>
      </w:r>
    </w:p>
    <w:p>
      <w:pPr>
        <w:pStyle w:val="ListBullet"/>
      </w:pPr>
      <w:r>
        <w:rPr>
          <w:rFonts w:ascii="宋体" w:hAnsi="宋体" w:eastAsia="宋体"/>
          <w:sz w:val="21"/>
        </w:rPr>
        <w:t>支持 ONNX 导出和 ONNX Runtime 推理，具备初步部署验证能力。</w:t>
      </w:r>
    </w:p>
    <w:p>
      <w:pPr>
        <w:pStyle w:val="ListBullet"/>
      </w:pPr>
      <w:r>
        <w:rPr>
          <w:rFonts w:ascii="宋体" w:hAnsi="宋体" w:eastAsia="宋体"/>
          <w:sz w:val="21"/>
        </w:rPr>
        <w:t>数据转换脚本可将 TuSimple 原始车道线标注转换为二分类样本，便于从开源数据集开展正式实验。</w:t>
      </w:r>
    </w:p>
    <w:p>
      <w:pPr>
        <w:pStyle w:val="Heading2"/>
        <w:jc w:val="left"/>
      </w:pPr>
      <w:r>
        <w:rPr>
          <w:rFonts w:ascii="黑体" w:hAnsi="黑体" w:eastAsia="黑体"/>
          <w:sz w:val="24"/>
        </w:rPr>
        <w:t>8.2 不足</w:t>
      </w:r>
    </w:p>
    <w:p>
      <w:pPr>
        <w:pStyle w:val="ListBullet"/>
      </w:pPr>
      <w:r>
        <w:rPr>
          <w:rFonts w:ascii="宋体" w:hAnsi="宋体" w:eastAsia="宋体"/>
          <w:sz w:val="21"/>
        </w:rPr>
        <w:t>二分类模型只能输出车道内或车道外，无法给出精确车道线位置和可行驶区域边界。</w:t>
      </w:r>
    </w:p>
    <w:p>
      <w:pPr>
        <w:pStyle w:val="ListBullet"/>
      </w:pPr>
      <w:r>
        <w:rPr>
          <w:rFonts w:ascii="宋体" w:hAnsi="宋体" w:eastAsia="宋体"/>
          <w:sz w:val="21"/>
        </w:rPr>
        <w:t>ROI 样本质量依赖裁剪策略，若车道中心估计不准确，会影响标签质量。</w:t>
      </w:r>
    </w:p>
    <w:p>
      <w:pPr>
        <w:pStyle w:val="ListBullet"/>
      </w:pPr>
      <w:r>
        <w:rPr>
          <w:rFonts w:ascii="宋体" w:hAnsi="宋体" w:eastAsia="宋体"/>
          <w:sz w:val="21"/>
        </w:rPr>
        <w:t>toy 数据集与真实道路场景差异较大，只能验证流程，不能代表最终性能。</w:t>
      </w:r>
    </w:p>
    <w:p>
      <w:pPr>
        <w:pStyle w:val="ListBullet"/>
      </w:pPr>
      <w:r>
        <w:rPr>
          <w:rFonts w:ascii="宋体" w:hAnsi="宋体" w:eastAsia="宋体"/>
          <w:sz w:val="21"/>
        </w:rPr>
        <w:t>当前模型未利用连续帧时序信息，遇到遮挡、模糊、弯道或强光变化时可能不够稳定。</w:t>
      </w:r>
    </w:p>
    <w:p>
      <w:pPr>
        <w:pStyle w:val="ListBullet"/>
      </w:pPr>
      <w:r>
        <w:rPr>
          <w:rFonts w:ascii="宋体" w:hAnsi="宋体" w:eastAsia="宋体"/>
          <w:sz w:val="21"/>
        </w:rPr>
        <w:t>尚未统计 ONNX Runtime 的推理耗时，部署性能分析仍需补充。</w:t>
      </w:r>
    </w:p>
    <w:p>
      <w:pPr>
        <w:pStyle w:val="Heading1"/>
        <w:jc w:val="left"/>
      </w:pPr>
      <w:r>
        <w:rPr>
          <w:rFonts w:ascii="黑体" w:hAnsi="黑体" w:eastAsia="黑体"/>
          <w:sz w:val="28"/>
        </w:rPr>
        <w:t>九、总结与下一阶段工作</w:t>
      </w:r>
    </w:p>
    <w:p>
      <w:pPr>
        <w:spacing w:line="300" w:lineRule="auto"/>
        <w:ind w:firstLine="420"/>
      </w:pPr>
      <w:r>
        <w:rPr>
          <w:rFonts w:ascii="宋体" w:hAnsi="宋体" w:eastAsia="宋体"/>
          <w:sz w:val="21"/>
        </w:rPr>
        <w:t>本实验完成了车道区域二分类模型的设计与工程实现，并已基于 TuSimple 开源车道线数据集完成正式训练、验证和测试。实验流程包括 TuSimple JSON 标注解析、ROI 二分类样本构建、轻量 CNN 训练、TensorBoard 记录、PyTorch checkpoint 保存、ONNX 导出和 ONNX Runtime 独立推理。最终模型在独立测试集上取得 accuracy 0.9665、precision 0.9301、recall 0.9732、F1 0.9511，说明该方案能够较稳定地完成车道内外 ROI 判断。</w:t>
      </w:r>
    </w:p>
    <w:p>
      <w:pPr>
        <w:spacing w:line="300" w:lineRule="auto"/>
        <w:ind w:firstLine="420"/>
      </w:pPr>
      <w:r>
        <w:rPr>
          <w:rFonts w:ascii="宋体" w:hAnsi="宋体" w:eastAsia="宋体"/>
          <w:sz w:val="21"/>
        </w:rPr>
        <w:t>下一阶段工作不再是接入 TuSimple，而是在当前真实数据实验基础上继续优化模型鲁棒性和部署表现。可进一步补充更多误差样例截图，重点分析 FP 样本，即真实为 out_lane 但被误判为 in_lane 的情况；尝试调整分类阈值以降低误判风险；比较不同 ROI 尺寸、y_ref 参考位置和负样本偏移距离对指标的影响；增加阴影、模糊、雨雾、强光等增强策略；尝试 MobileNetV3、ResNet18 等轻量骨干网络；并统计 ONNX Runtime 推理耗时，为后续边缘部署提供依据。</w:t>
      </w:r>
    </w:p>
    <w:p>
      <w:pPr>
        <w:pStyle w:val="Heading1"/>
        <w:jc w:val="left"/>
      </w:pPr>
      <w:r>
        <w:rPr>
          <w:rFonts w:ascii="黑体" w:hAnsi="黑体" w:eastAsia="黑体"/>
          <w:sz w:val="28"/>
        </w:rPr>
        <w:t>十、附录：正式 TuSimple 训练命令</w:t>
      </w:r>
    </w:p>
    <w:p>
      <w:pPr>
        <w:spacing w:before="60" w:after="120"/>
        <w:ind w:left="360"/>
      </w:pPr>
      <w:r>
        <w:rPr>
          <w:rFonts w:ascii="Consolas" w:hAnsi="Consolas" w:eastAsia="Consolas"/>
          <w:sz w:val="17"/>
        </w:rPr>
        <w:t>python scripts\prepare_tusimple_binary.py --tusimple-root D:\datasets\tusimple\train_set --label-file D:\datasets\tusimple\train_set\label_data_0313.json --split train --output data\tusimple_binary</w:t>
        <w:br/>
        <w:br/>
        <w:t>python scripts\prepare_tusimple_binary.py --tusimple-root D:\datasets\tusimple\train_set --label-file D:\datasets\tusimple\train_set\label_data_0531.json --split val --output data\tusimple_binary</w:t>
        <w:br/>
        <w:br/>
        <w:t>python -m lane_binary_classifier.train --data-dir data\tusimple_binary --output-dir outputs\tusimple_run --epochs 20 --batch-size 32 --tensorboard</w:t>
        <w:br/>
        <w:br/>
        <w:t>python -m lane_binary_classifier.export_onnx --checkpoint outputs\tusimple_run\best.pt --output outputs\tusimple_run\lane_binary_classifier.onnx</w:t>
        <w:br/>
        <w:br/>
        <w:t>python -m lane_binary_classifier.evaluate --checkpoint outputs\tusimple_run\best.pt --data-dir data\tusimple_binary --split test --output outputs\tusimple_run\test_metrics.json</w:t>
        <w:br/>
        <w:br/>
        <w:t>python -m lane_binary_classifier.predict_onnx --onnx-model outputs\tusimple_run\lane_binary_classifier.onnx --image data\tusimple_binary\test\in_lane\clips_0601_1494452385593783358_20_center.png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