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46A73"/>
          <w:sz w:val="22"/>
        </w:rPr>
        <w:t>AI6130  /  LARGE LANGUAGE MODELS</w:t>
      </w:r>
    </w:p>
    <w:p>
      <w:pPr>
        <w:pStyle w:val="Title"/>
        <w:jc w:val="center"/>
      </w:pPr>
      <w:r>
        <w:t>Benchmark Evaluation</w:t>
        <w:br/>
        <w:t>with Open LLMs</w:t>
      </w:r>
    </w:p>
    <w:p>
      <w:pPr>
        <w:spacing w:before="160"/>
        <w:jc w:val="center"/>
      </w:pPr>
      <w:r>
        <w:rPr>
          <w:color w:val="246A73"/>
          <w:sz w:val="26"/>
        </w:rPr>
        <w:t>Baseline Evaluation and Prompt Engineering</w:t>
      </w:r>
    </w:p>
    <w:p/>
    <w:tbl>
      <w:tblPr>
        <w:tblStyle w:val="TableGrid"/>
        <w:tblW w:type="auto" w:w="0"/>
        <w:jc w:val="center"/>
        <w:tblLook w:firstColumn="1" w:firstRow="1" w:lastColumn="0" w:lastRow="0" w:noHBand="0" w:noVBand="1" w:val="04A0"/>
      </w:tblPr>
      <w:tblGrid>
        <w:gridCol w:w="5141"/>
        <w:gridCol w:w="5141"/>
      </w:tblGrid>
      <w:tr>
        <w:tc>
          <w:tcPr>
            <w:tcW w:type="dxa" w:w="2088"/>
            <w:shd w:fill="EAF1F4"/>
            <w:vAlign w:val="center"/>
          </w:tcPr>
          <w:p>
            <w:pPr>
              <w:spacing w:after="0" w:before="0"/>
            </w:pPr>
            <w:r/>
            <w:r>
              <w:rPr>
                <w:b/>
                <w:color w:val="17324D"/>
                <w:sz w:val="20"/>
              </w:rPr>
              <w:t>Student</w:t>
            </w:r>
          </w:p>
        </w:tc>
        <w:tc>
          <w:tcPr>
            <w:tcW w:type="dxa" w:w="4752"/>
            <w:vAlign w:val="center"/>
          </w:tcPr>
          <w:p>
            <w:pPr>
              <w:spacing w:after="0" w:before="0"/>
            </w:pPr>
            <w:r/>
            <w:r>
              <w:rPr>
                <w:b w:val="0"/>
                <w:sz w:val="20"/>
              </w:rPr>
              <w:t>[Your name]</w:t>
            </w:r>
          </w:p>
        </w:tc>
      </w:tr>
      <w:tr>
        <w:tc>
          <w:tcPr>
            <w:tcW w:type="dxa" w:w="2088"/>
            <w:shd w:fill="EAF1F4"/>
            <w:vAlign w:val="center"/>
          </w:tcPr>
          <w:p>
            <w:pPr>
              <w:spacing w:after="0" w:before="0"/>
            </w:pPr>
            <w:r/>
            <w:r>
              <w:rPr>
                <w:b/>
                <w:color w:val="17324D"/>
                <w:sz w:val="20"/>
              </w:rPr>
              <w:t>Student ID</w:t>
            </w:r>
          </w:p>
        </w:tc>
        <w:tc>
          <w:tcPr>
            <w:tcW w:type="dxa" w:w="4752"/>
            <w:vAlign w:val="center"/>
          </w:tcPr>
          <w:p>
            <w:pPr>
              <w:spacing w:after="0" w:before="0"/>
            </w:pPr>
            <w:r/>
            <w:r>
              <w:rPr>
                <w:b w:val="0"/>
                <w:sz w:val="20"/>
              </w:rPr>
              <w:t>[Your student ID]</w:t>
            </w:r>
          </w:p>
        </w:tc>
      </w:tr>
      <w:tr>
        <w:tc>
          <w:tcPr>
            <w:tcW w:type="dxa" w:w="2088"/>
            <w:shd w:fill="EAF1F4"/>
            <w:vAlign w:val="center"/>
          </w:tcPr>
          <w:p>
            <w:pPr>
              <w:spacing w:after="0" w:before="0"/>
            </w:pPr>
            <w:r/>
            <w:r>
              <w:rPr>
                <w:b/>
                <w:color w:val="17324D"/>
                <w:sz w:val="20"/>
              </w:rPr>
              <w:t>Submission date</w:t>
            </w:r>
          </w:p>
        </w:tc>
        <w:tc>
          <w:tcPr>
            <w:tcW w:type="dxa" w:w="4752"/>
            <w:vAlign w:val="center"/>
          </w:tcPr>
          <w:p>
            <w:pPr>
              <w:spacing w:after="0" w:before="0"/>
            </w:pPr>
            <w:r/>
            <w:r>
              <w:rPr>
                <w:b w:val="0"/>
                <w:sz w:val="20"/>
              </w:rPr>
              <w:t>[Date]</w:t>
            </w:r>
          </w:p>
        </w:tc>
      </w:tr>
    </w:tbl>
    <w:p>
      <w:pPr>
        <w:spacing w:before="400"/>
        <w:jc w:val="center"/>
      </w:pPr>
      <w:r>
        <w:rPr>
          <w:i/>
          <w:color w:val="246A73"/>
          <w:sz w:val="18"/>
        </w:rPr>
        <w:t>Draft for review  |  Improved evaluation is still running</w:t>
      </w:r>
    </w:p>
    <w:p>
      <w:r>
        <w:br w:type="page"/>
      </w:r>
    </w:p>
    <w:p>
      <w:pPr>
        <w:pStyle w:val="Heading1"/>
        <w:keepNext/>
      </w:pPr>
      <w:r>
        <w:t>1. Objective and Experimental Setup</w:t>
      </w:r>
    </w:p>
    <w:p>
      <w:pPr/>
      <w:r>
        <w:t>This study evaluates four open language models on three multiple-choice tasks from Open-Style/Open-LLM-Benchmark, then tests whether a constrained answer-format prompt improves evaluation outcomes. The benchmark provides an answerKey label for each item; model generations are mapped to labels before accuracy is calculated.</w:t>
      </w:r>
    </w:p>
    <w:tbl>
      <w:tblPr>
        <w:tblStyle w:val="TableGrid"/>
        <w:tblW w:type="auto" w:w="0"/>
        <w:jc w:val="center"/>
        <w:tblLook w:firstColumn="1" w:firstRow="1" w:lastColumn="0" w:lastRow="0" w:noHBand="0" w:noVBand="1" w:val="04A0"/>
      </w:tblPr>
      <w:tblGrid>
        <w:gridCol w:w="3427"/>
        <w:gridCol w:w="3427"/>
        <w:gridCol w:w="3427"/>
      </w:tblGrid>
      <w:tr>
        <w:tc>
          <w:tcPr>
            <w:tcW w:type="dxa" w:w="2880"/>
            <w:shd w:fill="17324D"/>
            <w:vAlign w:val="center"/>
          </w:tcPr>
          <w:p>
            <w:pPr>
              <w:spacing w:after="0" w:before="0"/>
            </w:pPr>
            <w:r/>
            <w:r>
              <w:rPr>
                <w:b/>
                <w:color w:val="FFFFFF"/>
                <w:sz w:val="16"/>
              </w:rPr>
              <w:t>Task</w:t>
            </w:r>
          </w:p>
        </w:tc>
        <w:tc>
          <w:tcPr>
            <w:tcW w:type="dxa" w:w="1440"/>
            <w:shd w:fill="17324D"/>
            <w:vAlign w:val="center"/>
          </w:tcPr>
          <w:p>
            <w:pPr>
              <w:spacing w:after="0" w:before="0"/>
            </w:pPr>
            <w:r/>
            <w:r>
              <w:rPr>
                <w:b/>
                <w:color w:val="FFFFFF"/>
                <w:sz w:val="16"/>
              </w:rPr>
              <w:t>Items</w:t>
            </w:r>
          </w:p>
        </w:tc>
        <w:tc>
          <w:tcPr>
            <w:tcW w:type="dxa" w:w="2016"/>
            <w:shd w:fill="17324D"/>
            <w:vAlign w:val="center"/>
          </w:tcPr>
          <w:p>
            <w:pPr>
              <w:spacing w:after="0" w:before="0"/>
            </w:pPr>
            <w:r/>
            <w:r>
              <w:rPr>
                <w:b/>
                <w:color w:val="FFFFFF"/>
                <w:sz w:val="16"/>
              </w:rPr>
              <w:t>Answer labels</w:t>
            </w:r>
          </w:p>
        </w:tc>
      </w:tr>
      <w:tr>
        <w:tc>
          <w:tcPr>
            <w:tcW w:type="dxa" w:w="2880"/>
            <w:vAlign w:val="center"/>
          </w:tcPr>
          <w:p>
            <w:pPr>
              <w:spacing w:after="0" w:before="0"/>
            </w:pPr>
            <w:r/>
            <w:r>
              <w:rPr>
                <w:b w:val="0"/>
                <w:sz w:val="16"/>
              </w:rPr>
              <w:t>CommonsenseQA</w:t>
            </w:r>
          </w:p>
        </w:tc>
        <w:tc>
          <w:tcPr>
            <w:tcW w:type="dxa" w:w="1440"/>
            <w:vAlign w:val="center"/>
          </w:tcPr>
          <w:p>
            <w:pPr>
              <w:spacing w:after="0" w:before="0"/>
            </w:pPr>
            <w:r/>
            <w:r>
              <w:rPr>
                <w:b w:val="0"/>
                <w:sz w:val="16"/>
              </w:rPr>
              <w:t>710</w:t>
            </w:r>
          </w:p>
        </w:tc>
        <w:tc>
          <w:tcPr>
            <w:tcW w:type="dxa" w:w="2016"/>
            <w:vAlign w:val="center"/>
          </w:tcPr>
          <w:p>
            <w:pPr>
              <w:spacing w:after="0" w:before="0"/>
            </w:pPr>
            <w:r/>
            <w:r>
              <w:rPr>
                <w:b w:val="0"/>
                <w:sz w:val="16"/>
              </w:rPr>
              <w:t>A-E</w:t>
            </w:r>
          </w:p>
        </w:tc>
      </w:tr>
      <w:tr>
        <w:tc>
          <w:tcPr>
            <w:tcW w:type="dxa" w:w="2880"/>
            <w:shd w:fill="EAF1F4"/>
            <w:vAlign w:val="center"/>
          </w:tcPr>
          <w:p>
            <w:pPr>
              <w:spacing w:after="0" w:before="0"/>
            </w:pPr>
            <w:r/>
            <w:r>
              <w:rPr>
                <w:b w:val="0"/>
                <w:sz w:val="16"/>
              </w:rPr>
              <w:t>OpenbookQA</w:t>
            </w:r>
          </w:p>
        </w:tc>
        <w:tc>
          <w:tcPr>
            <w:tcW w:type="dxa" w:w="1440"/>
            <w:shd w:fill="EAF1F4"/>
            <w:vAlign w:val="center"/>
          </w:tcPr>
          <w:p>
            <w:pPr>
              <w:spacing w:after="0" w:before="0"/>
            </w:pPr>
            <w:r/>
            <w:r>
              <w:rPr>
                <w:b w:val="0"/>
                <w:sz w:val="16"/>
              </w:rPr>
              <w:t>491</w:t>
            </w:r>
          </w:p>
        </w:tc>
        <w:tc>
          <w:tcPr>
            <w:tcW w:type="dxa" w:w="2016"/>
            <w:shd w:fill="EAF1F4"/>
            <w:vAlign w:val="center"/>
          </w:tcPr>
          <w:p>
            <w:pPr>
              <w:spacing w:after="0" w:before="0"/>
            </w:pPr>
            <w:r/>
            <w:r>
              <w:rPr>
                <w:b w:val="0"/>
                <w:sz w:val="16"/>
              </w:rPr>
              <w:t>A-D</w:t>
            </w:r>
          </w:p>
        </w:tc>
      </w:tr>
      <w:tr>
        <w:tc>
          <w:tcPr>
            <w:tcW w:type="dxa" w:w="2880"/>
            <w:vAlign w:val="center"/>
          </w:tcPr>
          <w:p>
            <w:pPr>
              <w:spacing w:after="0" w:before="0"/>
            </w:pPr>
            <w:r/>
            <w:r>
              <w:rPr>
                <w:b w:val="0"/>
                <w:sz w:val="16"/>
              </w:rPr>
              <w:t>PiQA</w:t>
            </w:r>
          </w:p>
        </w:tc>
        <w:tc>
          <w:tcPr>
            <w:tcW w:type="dxa" w:w="1440"/>
            <w:vAlign w:val="center"/>
          </w:tcPr>
          <w:p>
            <w:pPr>
              <w:spacing w:after="0" w:before="0"/>
            </w:pPr>
            <w:r/>
            <w:r>
              <w:rPr>
                <w:b w:val="0"/>
                <w:sz w:val="16"/>
              </w:rPr>
              <w:t>696</w:t>
            </w:r>
          </w:p>
        </w:tc>
        <w:tc>
          <w:tcPr>
            <w:tcW w:type="dxa" w:w="2016"/>
            <w:vAlign w:val="center"/>
          </w:tcPr>
          <w:p>
            <w:pPr>
              <w:spacing w:after="0" w:before="0"/>
            </w:pPr>
            <w:r/>
            <w:r>
              <w:rPr>
                <w:b w:val="0"/>
                <w:sz w:val="16"/>
              </w:rPr>
              <w:t>A-B</w:t>
            </w:r>
          </w:p>
        </w:tc>
      </w:tr>
    </w:tbl>
    <w:p>
      <w:pPr>
        <w:spacing w:after="0"/>
      </w:pPr>
    </w:p>
    <w:p>
      <w:pPr>
        <w:pStyle w:val="Heading2"/>
        <w:keepNext/>
      </w:pPr>
      <w:r>
        <w:t>Models and Inference</w:t>
      </w:r>
    </w:p>
    <w:tbl>
      <w:tblPr>
        <w:tblStyle w:val="TableGrid"/>
        <w:tblW w:type="auto" w:w="0"/>
        <w:jc w:val="center"/>
        <w:tblLook w:firstColumn="1" w:firstRow="1" w:lastColumn="0" w:lastRow="0" w:noHBand="0" w:noVBand="1" w:val="04A0"/>
      </w:tblPr>
      <w:tblGrid>
        <w:gridCol w:w="3427"/>
        <w:gridCol w:w="3427"/>
        <w:gridCol w:w="3427"/>
      </w:tblGrid>
      <w:tr>
        <w:tc>
          <w:tcPr>
            <w:tcW w:type="dxa" w:w="4320"/>
            <w:shd w:fill="17324D"/>
            <w:vAlign w:val="center"/>
          </w:tcPr>
          <w:p>
            <w:pPr>
              <w:spacing w:after="0" w:before="0"/>
            </w:pPr>
            <w:r/>
            <w:r>
              <w:rPr>
                <w:b/>
                <w:color w:val="FFFFFF"/>
                <w:sz w:val="16"/>
              </w:rPr>
              <w:t>Model</w:t>
            </w:r>
          </w:p>
        </w:tc>
        <w:tc>
          <w:tcPr>
            <w:tcW w:type="dxa" w:w="2232"/>
            <w:shd w:fill="17324D"/>
            <w:vAlign w:val="center"/>
          </w:tcPr>
          <w:p>
            <w:pPr>
              <w:spacing w:after="0" w:before="0"/>
            </w:pPr>
            <w:r/>
            <w:r>
              <w:rPr>
                <w:b/>
                <w:color w:val="FFFFFF"/>
                <w:sz w:val="16"/>
              </w:rPr>
              <w:t>Input format</w:t>
            </w:r>
          </w:p>
        </w:tc>
        <w:tc>
          <w:tcPr>
            <w:tcW w:type="dxa" w:w="1584"/>
            <w:shd w:fill="17324D"/>
            <w:vAlign w:val="center"/>
          </w:tcPr>
          <w:p>
            <w:pPr>
              <w:spacing w:after="0" w:before="0"/>
            </w:pPr>
            <w:r/>
            <w:r>
              <w:rPr>
                <w:b/>
                <w:color w:val="FFFFFF"/>
                <w:sz w:val="16"/>
              </w:rPr>
              <w:t>Max new tokens</w:t>
            </w:r>
          </w:p>
        </w:tc>
      </w:tr>
      <w:tr>
        <w:tc>
          <w:tcPr>
            <w:tcW w:type="dxa" w:w="4320"/>
            <w:vAlign w:val="center"/>
          </w:tcPr>
          <w:p>
            <w:pPr>
              <w:spacing w:after="0" w:before="0"/>
            </w:pPr>
            <w:r/>
            <w:r>
              <w:rPr>
                <w:b w:val="0"/>
                <w:sz w:val="16"/>
              </w:rPr>
              <w:t>TinyLlama/TinyLlama_v1.1</w:t>
            </w:r>
          </w:p>
        </w:tc>
        <w:tc>
          <w:tcPr>
            <w:tcW w:type="dxa" w:w="2232"/>
            <w:vAlign w:val="center"/>
          </w:tcPr>
          <w:p>
            <w:pPr>
              <w:spacing w:after="0" w:before="0"/>
            </w:pPr>
            <w:r/>
            <w:r>
              <w:rPr>
                <w:b w:val="0"/>
                <w:sz w:val="16"/>
              </w:rPr>
              <w:t>Plain text</w:t>
            </w:r>
          </w:p>
        </w:tc>
        <w:tc>
          <w:tcPr>
            <w:tcW w:type="dxa" w:w="1584"/>
            <w:vAlign w:val="center"/>
          </w:tcPr>
          <w:p>
            <w:pPr>
              <w:spacing w:after="0" w:before="0"/>
            </w:pPr>
            <w:r/>
            <w:r>
              <w:rPr>
                <w:b w:val="0"/>
                <w:sz w:val="16"/>
              </w:rPr>
              <w:t>64</w:t>
            </w:r>
          </w:p>
        </w:tc>
      </w:tr>
      <w:tr>
        <w:tc>
          <w:tcPr>
            <w:tcW w:type="dxa" w:w="4320"/>
            <w:shd w:fill="EAF1F4"/>
            <w:vAlign w:val="center"/>
          </w:tcPr>
          <w:p>
            <w:pPr>
              <w:spacing w:after="0" w:before="0"/>
            </w:pPr>
            <w:r/>
            <w:r>
              <w:rPr>
                <w:b w:val="0"/>
                <w:sz w:val="16"/>
              </w:rPr>
              <w:t>Qwen/Qwen2.5-3B-Instruct</w:t>
            </w:r>
          </w:p>
        </w:tc>
        <w:tc>
          <w:tcPr>
            <w:tcW w:type="dxa" w:w="2232"/>
            <w:shd w:fill="EAF1F4"/>
            <w:vAlign w:val="center"/>
          </w:tcPr>
          <w:p>
            <w:pPr>
              <w:spacing w:after="0" w:before="0"/>
            </w:pPr>
            <w:r/>
            <w:r>
              <w:rPr>
                <w:b w:val="0"/>
                <w:sz w:val="16"/>
              </w:rPr>
              <w:t>Chat template</w:t>
            </w:r>
          </w:p>
        </w:tc>
        <w:tc>
          <w:tcPr>
            <w:tcW w:type="dxa" w:w="1584"/>
            <w:shd w:fill="EAF1F4"/>
            <w:vAlign w:val="center"/>
          </w:tcPr>
          <w:p>
            <w:pPr>
              <w:spacing w:after="0" w:before="0"/>
            </w:pPr>
            <w:r/>
            <w:r>
              <w:rPr>
                <w:b w:val="0"/>
                <w:sz w:val="16"/>
              </w:rPr>
              <w:t>64</w:t>
            </w:r>
          </w:p>
        </w:tc>
      </w:tr>
      <w:tr>
        <w:tc>
          <w:tcPr>
            <w:tcW w:type="dxa" w:w="4320"/>
            <w:vAlign w:val="center"/>
          </w:tcPr>
          <w:p>
            <w:pPr>
              <w:spacing w:after="0" w:before="0"/>
            </w:pPr>
            <w:r/>
            <w:r>
              <w:rPr>
                <w:b w:val="0"/>
                <w:sz w:val="16"/>
              </w:rPr>
              <w:t>DeepSeek-R1-Distill-Qwen-1.5B</w:t>
            </w:r>
          </w:p>
        </w:tc>
        <w:tc>
          <w:tcPr>
            <w:tcW w:type="dxa" w:w="2232"/>
            <w:vAlign w:val="center"/>
          </w:tcPr>
          <w:p>
            <w:pPr>
              <w:spacing w:after="0" w:before="0"/>
            </w:pPr>
            <w:r/>
            <w:r>
              <w:rPr>
                <w:b w:val="0"/>
                <w:sz w:val="16"/>
              </w:rPr>
              <w:t>Chat template</w:t>
            </w:r>
          </w:p>
        </w:tc>
        <w:tc>
          <w:tcPr>
            <w:tcW w:type="dxa" w:w="1584"/>
            <w:vAlign w:val="center"/>
          </w:tcPr>
          <w:p>
            <w:pPr>
              <w:spacing w:after="0" w:before="0"/>
            </w:pPr>
            <w:r/>
            <w:r>
              <w:rPr>
                <w:b w:val="0"/>
                <w:sz w:val="16"/>
              </w:rPr>
              <w:t>1,024</w:t>
            </w:r>
          </w:p>
        </w:tc>
      </w:tr>
      <w:tr>
        <w:tc>
          <w:tcPr>
            <w:tcW w:type="dxa" w:w="4320"/>
            <w:shd w:fill="EAF1F4"/>
            <w:vAlign w:val="center"/>
          </w:tcPr>
          <w:p>
            <w:pPr>
              <w:spacing w:after="0" w:before="0"/>
            </w:pPr>
            <w:r/>
            <w:r>
              <w:rPr>
                <w:b w:val="0"/>
                <w:sz w:val="16"/>
              </w:rPr>
              <w:t>Qwen/Qwen3-4B-Instruct-2507</w:t>
            </w:r>
          </w:p>
        </w:tc>
        <w:tc>
          <w:tcPr>
            <w:tcW w:type="dxa" w:w="2232"/>
            <w:shd w:fill="EAF1F4"/>
            <w:vAlign w:val="center"/>
          </w:tcPr>
          <w:p>
            <w:pPr>
              <w:spacing w:after="0" w:before="0"/>
            </w:pPr>
            <w:r/>
            <w:r>
              <w:rPr>
                <w:b w:val="0"/>
                <w:sz w:val="16"/>
              </w:rPr>
              <w:t>Chat template</w:t>
            </w:r>
          </w:p>
        </w:tc>
        <w:tc>
          <w:tcPr>
            <w:tcW w:type="dxa" w:w="1584"/>
            <w:shd w:fill="EAF1F4"/>
            <w:vAlign w:val="center"/>
          </w:tcPr>
          <w:p>
            <w:pPr>
              <w:spacing w:after="0" w:before="0"/>
            </w:pPr>
            <w:r/>
            <w:r>
              <w:rPr>
                <w:b w:val="0"/>
                <w:sz w:val="16"/>
              </w:rPr>
              <w:t>192</w:t>
            </w:r>
          </w:p>
        </w:tc>
      </w:tr>
    </w:tbl>
    <w:p>
      <w:pPr>
        <w:spacing w:after="0"/>
      </w:pPr>
    </w:p>
    <w:p>
      <w:pPr/>
      <w:r>
        <w:t>All runs use greedy decoding (do_sample=False). The generation budget is held constant between baseline and improved runs for each model, while it differs across models to accommodate their output behavior. Instruction-tuned models use their tokenizer-provided chat template; TinyLlama is prompted as a plain-text completion model. No few-shot examples are used.</w:t>
      </w:r>
    </w:p>
    <w:p>
      <w:pPr>
        <w:pStyle w:val="Heading2"/>
        <w:keepNext/>
      </w:pPr>
      <w:r>
        <w:t>Prompt Design</w:t>
      </w:r>
    </w:p>
    <w:p>
      <w:pPr/>
      <w:r>
        <w:t>Baseline follows the supplied example: question, labeled options, and an open-ended answer cue.</w:t>
      </w:r>
    </w:p>
    <w:p>
      <w:pPr>
        <w:spacing w:after="80"/>
        <w:ind w:left="259"/>
      </w:pPr>
      <w:r>
        <w:rPr>
          <w:rFonts w:ascii="Consolas" w:hAnsi="Consolas"/>
          <w:sz w:val="17"/>
        </w:rPr>
        <w:t>{question}</w:t>
        <w:br/>
        <w:t>A: {option A}</w:t>
        <w:br/>
        <w:t>...</w:t>
        <w:br/>
        <w:t xml:space="preserve">Answer: </w:t>
      </w:r>
    </w:p>
    <w:p>
      <w:pPr/>
      <w:r>
        <w:t>The improved prompt preserves the question and option text, then adds: “Choose the best answer from the options above. Output exactly one label from [valid labels] and nothing else.” The valid labels are generated from the current item (A-E, A-D, or A-B), followed by the same Answer cue. This targets answer readability and parser compatibility, not additional task knowledge.</w:t>
      </w:r>
    </w:p>
    <w:p>
      <w:r>
        <w:br w:type="page"/>
      </w:r>
    </w:p>
    <w:p>
      <w:pPr>
        <w:pStyle w:val="Heading1"/>
        <w:keepNext/>
      </w:pPr>
      <w:r>
        <w:t>2. Results</w:t>
      </w:r>
    </w:p>
    <w:p>
      <w:pPr/>
      <w:r>
        <w:t>Table 2 reports the completed baseline results. Overall accuracy counts unparsed generations as incorrect. Parse rate is the proportion mapped to a valid answer label; parsed accuracy is calculated only over those mapped outputs.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952"/>
            <w:shd w:fill="17324D"/>
            <w:vAlign w:val="center"/>
          </w:tcPr>
          <w:p>
            <w:pPr>
              <w:spacing w:after="0" w:before="0"/>
            </w:pPr>
            <w:r/>
            <w:r>
              <w:rPr>
                <w:b/>
                <w:color w:val="FFFFFF"/>
                <w:sz w:val="16"/>
              </w:rPr>
              <w:t>Model</w:t>
            </w:r>
          </w:p>
        </w:tc>
        <w:tc>
          <w:tcPr>
            <w:tcW w:type="dxa" w:w="2232"/>
            <w:shd w:fill="17324D"/>
            <w:vAlign w:val="center"/>
          </w:tcPr>
          <w:p>
            <w:pPr>
              <w:spacing w:after="0" w:before="0"/>
            </w:pPr>
            <w:r/>
            <w:r>
              <w:rPr>
                <w:b/>
                <w:color w:val="FFFFFF"/>
                <w:sz w:val="16"/>
              </w:rPr>
              <w:t>CommonsenseQA</w:t>
            </w:r>
          </w:p>
        </w:tc>
        <w:tc>
          <w:tcPr>
            <w:tcW w:type="dxa" w:w="2232"/>
            <w:shd w:fill="17324D"/>
            <w:vAlign w:val="center"/>
          </w:tcPr>
          <w:p>
            <w:pPr>
              <w:spacing w:after="0" w:before="0"/>
            </w:pPr>
            <w:r/>
            <w:r>
              <w:rPr>
                <w:b/>
                <w:color w:val="FFFFFF"/>
                <w:sz w:val="16"/>
              </w:rPr>
              <w:t>OpenbookQA</w:t>
            </w:r>
          </w:p>
        </w:tc>
        <w:tc>
          <w:tcPr>
            <w:tcW w:type="dxa" w:w="1800"/>
            <w:shd w:fill="17324D"/>
            <w:vAlign w:val="center"/>
          </w:tcPr>
          <w:p>
            <w:pPr>
              <w:spacing w:after="0" w:before="0"/>
            </w:pPr>
            <w:r/>
            <w:r>
              <w:rPr>
                <w:b/>
                <w:color w:val="FFFFFF"/>
                <w:sz w:val="16"/>
              </w:rPr>
              <w:t>PiQA</w:t>
            </w:r>
          </w:p>
        </w:tc>
      </w:tr>
      <w:tr>
        <w:tc>
          <w:tcPr>
            <w:tcW w:type="dxa" w:w="2952"/>
            <w:vAlign w:val="center"/>
          </w:tcPr>
          <w:p>
            <w:pPr>
              <w:spacing w:after="0" w:before="0"/>
            </w:pPr>
            <w:r/>
            <w:r>
              <w:rPr>
                <w:b w:val="0"/>
                <w:sz w:val="15"/>
              </w:rPr>
              <w:t>TinyLlama-1.1B-v1.1</w:t>
            </w:r>
          </w:p>
        </w:tc>
        <w:tc>
          <w:tcPr>
            <w:tcW w:type="dxa" w:w="2232"/>
            <w:vAlign w:val="center"/>
          </w:tcPr>
          <w:p>
            <w:pPr>
              <w:spacing w:after="0" w:before="0"/>
            </w:pPr>
            <w:r/>
            <w:r>
              <w:rPr>
                <w:b w:val="0"/>
                <w:sz w:val="15"/>
              </w:rPr>
              <w:t>Acc. 2.11%</w:t>
            </w:r>
            <w:r>
              <w:br/>
            </w:r>
            <w:r>
              <w:rPr>
                <w:b w:val="0"/>
                <w:sz w:val="15"/>
              </w:rPr>
              <w:t>Parse 9.4%</w:t>
            </w:r>
            <w:r>
              <w:br/>
            </w:r>
            <w:r>
              <w:rPr>
                <w:b w:val="0"/>
                <w:sz w:val="15"/>
              </w:rPr>
              <w:t>Parsed acc. 22.39%</w:t>
            </w:r>
          </w:p>
        </w:tc>
        <w:tc>
          <w:tcPr>
            <w:tcW w:type="dxa" w:w="2232"/>
            <w:vAlign w:val="center"/>
          </w:tcPr>
          <w:p>
            <w:pPr>
              <w:spacing w:after="0" w:before="0"/>
            </w:pPr>
            <w:r/>
            <w:r>
              <w:rPr>
                <w:b w:val="0"/>
                <w:sz w:val="15"/>
              </w:rPr>
              <w:t>Acc. 2.85%</w:t>
            </w:r>
            <w:r>
              <w:br/>
            </w:r>
            <w:r>
              <w:rPr>
                <w:b w:val="0"/>
                <w:sz w:val="15"/>
              </w:rPr>
              <w:t>Parse 11.6%</w:t>
            </w:r>
            <w:r>
              <w:br/>
            </w:r>
            <w:r>
              <w:rPr>
                <w:b w:val="0"/>
                <w:sz w:val="15"/>
              </w:rPr>
              <w:t>Parsed acc. 24.56%</w:t>
            </w:r>
          </w:p>
        </w:tc>
        <w:tc>
          <w:tcPr>
            <w:tcW w:type="dxa" w:w="1800"/>
            <w:vAlign w:val="center"/>
          </w:tcPr>
          <w:p>
            <w:pPr>
              <w:spacing w:after="0" w:before="0"/>
            </w:pPr>
            <w:r/>
            <w:r>
              <w:rPr>
                <w:b w:val="0"/>
                <w:sz w:val="15"/>
              </w:rPr>
              <w:t>Acc. 16.52%</w:t>
            </w:r>
            <w:r>
              <w:br/>
            </w:r>
            <w:r>
              <w:rPr>
                <w:b w:val="0"/>
                <w:sz w:val="15"/>
              </w:rPr>
              <w:t>Parse 34.5%</w:t>
            </w:r>
            <w:r>
              <w:br/>
            </w:r>
            <w:r>
              <w:rPr>
                <w:b w:val="0"/>
                <w:sz w:val="15"/>
              </w:rPr>
              <w:t>Parsed acc. 47.92%</w:t>
            </w:r>
          </w:p>
        </w:tc>
      </w:tr>
      <w:tr>
        <w:tc>
          <w:tcPr>
            <w:tcW w:type="dxa" w:w="2952"/>
            <w:shd w:fill="EAF1F4"/>
            <w:vAlign w:val="center"/>
          </w:tcPr>
          <w:p>
            <w:pPr>
              <w:spacing w:after="0" w:before="0"/>
            </w:pPr>
            <w:r/>
            <w:r>
              <w:rPr>
                <w:b w:val="0"/>
                <w:sz w:val="15"/>
              </w:rPr>
              <w:t>Qwen2.5-3B-Instruct</w:t>
            </w:r>
          </w:p>
        </w:tc>
        <w:tc>
          <w:tcPr>
            <w:tcW w:type="dxa" w:w="2232"/>
            <w:shd w:fill="EAF1F4"/>
            <w:vAlign w:val="center"/>
          </w:tcPr>
          <w:p>
            <w:pPr>
              <w:spacing w:after="0" w:before="0"/>
            </w:pPr>
            <w:r/>
            <w:r>
              <w:rPr>
                <w:b w:val="0"/>
                <w:sz w:val="15"/>
              </w:rPr>
              <w:t>Acc. 63.10%</w:t>
            </w:r>
            <w:r>
              <w:br/>
            </w:r>
            <w:r>
              <w:rPr>
                <w:b w:val="0"/>
                <w:sz w:val="15"/>
              </w:rPr>
              <w:t>Parse 88.5%</w:t>
            </w:r>
            <w:r>
              <w:br/>
            </w:r>
            <w:r>
              <w:rPr>
                <w:b w:val="0"/>
                <w:sz w:val="15"/>
              </w:rPr>
              <w:t>Parsed acc. 71.34%</w:t>
            </w:r>
          </w:p>
        </w:tc>
        <w:tc>
          <w:tcPr>
            <w:tcW w:type="dxa" w:w="2232"/>
            <w:shd w:fill="EAF1F4"/>
            <w:vAlign w:val="center"/>
          </w:tcPr>
          <w:p>
            <w:pPr>
              <w:spacing w:after="0" w:before="0"/>
            </w:pPr>
            <w:r/>
            <w:r>
              <w:rPr>
                <w:b w:val="0"/>
                <w:sz w:val="15"/>
              </w:rPr>
              <w:t>Acc. 57.43%</w:t>
            </w:r>
            <w:r>
              <w:br/>
            </w:r>
            <w:r>
              <w:rPr>
                <w:b w:val="0"/>
                <w:sz w:val="15"/>
              </w:rPr>
              <w:t>Parse 85.3%</w:t>
            </w:r>
            <w:r>
              <w:br/>
            </w:r>
            <w:r>
              <w:rPr>
                <w:b w:val="0"/>
                <w:sz w:val="15"/>
              </w:rPr>
              <w:t>Parsed acc. 67.30%</w:t>
            </w:r>
          </w:p>
        </w:tc>
        <w:tc>
          <w:tcPr>
            <w:tcW w:type="dxa" w:w="1800"/>
            <w:shd w:fill="EAF1F4"/>
            <w:vAlign w:val="center"/>
          </w:tcPr>
          <w:p>
            <w:pPr>
              <w:spacing w:after="0" w:before="0"/>
            </w:pPr>
            <w:r/>
            <w:r>
              <w:rPr>
                <w:b w:val="0"/>
                <w:sz w:val="15"/>
              </w:rPr>
              <w:t>Acc. 63.94%</w:t>
            </w:r>
            <w:r>
              <w:br/>
            </w:r>
            <w:r>
              <w:rPr>
                <w:b w:val="0"/>
                <w:sz w:val="15"/>
              </w:rPr>
              <w:t>Parse 82.9%</w:t>
            </w:r>
            <w:r>
              <w:br/>
            </w:r>
            <w:r>
              <w:rPr>
                <w:b w:val="0"/>
                <w:sz w:val="15"/>
              </w:rPr>
              <w:t>Parsed acc. 77.12%</w:t>
            </w:r>
          </w:p>
        </w:tc>
      </w:tr>
      <w:tr>
        <w:tc>
          <w:tcPr>
            <w:tcW w:type="dxa" w:w="2952"/>
            <w:vAlign w:val="center"/>
          </w:tcPr>
          <w:p>
            <w:pPr>
              <w:spacing w:after="0" w:before="0"/>
            </w:pPr>
            <w:r/>
            <w:r>
              <w:rPr>
                <w:b w:val="0"/>
                <w:sz w:val="15"/>
              </w:rPr>
              <w:t>DeepSeek-R1-Distill-Qwen-1.5B</w:t>
            </w:r>
          </w:p>
        </w:tc>
        <w:tc>
          <w:tcPr>
            <w:tcW w:type="dxa" w:w="2232"/>
            <w:vAlign w:val="center"/>
          </w:tcPr>
          <w:p>
            <w:pPr>
              <w:spacing w:after="0" w:before="0"/>
            </w:pPr>
            <w:r/>
            <w:r>
              <w:rPr>
                <w:b w:val="0"/>
                <w:sz w:val="15"/>
              </w:rPr>
              <w:t>Acc. 45.21%</w:t>
            </w:r>
            <w:r>
              <w:br/>
            </w:r>
            <w:r>
              <w:rPr>
                <w:b w:val="0"/>
                <w:sz w:val="15"/>
              </w:rPr>
              <w:t>Parse 94.5%</w:t>
            </w:r>
            <w:r>
              <w:br/>
            </w:r>
            <w:r>
              <w:rPr>
                <w:b w:val="0"/>
                <w:sz w:val="15"/>
              </w:rPr>
              <w:t>Parsed acc. 47.84%</w:t>
            </w:r>
          </w:p>
        </w:tc>
        <w:tc>
          <w:tcPr>
            <w:tcW w:type="dxa" w:w="2232"/>
            <w:vAlign w:val="center"/>
          </w:tcPr>
          <w:p>
            <w:pPr>
              <w:spacing w:after="0" w:before="0"/>
            </w:pPr>
            <w:r/>
            <w:r>
              <w:rPr>
                <w:b w:val="0"/>
                <w:sz w:val="15"/>
              </w:rPr>
              <w:t>Acc. 49.69%</w:t>
            </w:r>
            <w:r>
              <w:br/>
            </w:r>
            <w:r>
              <w:rPr>
                <w:b w:val="0"/>
                <w:sz w:val="15"/>
              </w:rPr>
              <w:t>Parse 86.8%</w:t>
            </w:r>
            <w:r>
              <w:br/>
            </w:r>
            <w:r>
              <w:rPr>
                <w:b w:val="0"/>
                <w:sz w:val="15"/>
              </w:rPr>
              <w:t>Parsed acc. 57.28%</w:t>
            </w:r>
          </w:p>
        </w:tc>
        <w:tc>
          <w:tcPr>
            <w:tcW w:type="dxa" w:w="1800"/>
            <w:vAlign w:val="center"/>
          </w:tcPr>
          <w:p>
            <w:pPr>
              <w:spacing w:after="0" w:before="0"/>
            </w:pPr>
            <w:r/>
            <w:r>
              <w:rPr>
                <w:b w:val="0"/>
                <w:sz w:val="15"/>
              </w:rPr>
              <w:t>Acc. 30.75%</w:t>
            </w:r>
            <w:r>
              <w:br/>
            </w:r>
            <w:r>
              <w:rPr>
                <w:b w:val="0"/>
                <w:sz w:val="15"/>
              </w:rPr>
              <w:t>Parse 50.0%</w:t>
            </w:r>
            <w:r>
              <w:br/>
            </w:r>
            <w:r>
              <w:rPr>
                <w:b w:val="0"/>
                <w:sz w:val="15"/>
              </w:rPr>
              <w:t>Parsed acc. 61.49%</w:t>
            </w:r>
          </w:p>
        </w:tc>
      </w:tr>
      <w:tr>
        <w:tc>
          <w:tcPr>
            <w:tcW w:type="dxa" w:w="2952"/>
            <w:shd w:fill="EAF1F4"/>
            <w:vAlign w:val="center"/>
          </w:tcPr>
          <w:p>
            <w:pPr>
              <w:spacing w:after="0" w:before="0"/>
            </w:pPr>
            <w:r/>
            <w:r>
              <w:rPr>
                <w:b w:val="0"/>
                <w:sz w:val="15"/>
              </w:rPr>
              <w:t>Qwen3-4B-Instruct-2507</w:t>
            </w:r>
          </w:p>
        </w:tc>
        <w:tc>
          <w:tcPr>
            <w:tcW w:type="dxa" w:w="2232"/>
            <w:shd w:fill="EAF1F4"/>
            <w:vAlign w:val="center"/>
          </w:tcPr>
          <w:p>
            <w:pPr>
              <w:spacing w:after="0" w:before="0"/>
            </w:pPr>
            <w:r/>
            <w:r>
              <w:rPr>
                <w:b w:val="0"/>
                <w:sz w:val="15"/>
              </w:rPr>
              <w:t>Acc. 41.97%</w:t>
            </w:r>
            <w:r>
              <w:br/>
            </w:r>
            <w:r>
              <w:rPr>
                <w:b w:val="0"/>
                <w:sz w:val="15"/>
              </w:rPr>
              <w:t>Parse 60.4%</w:t>
            </w:r>
            <w:r>
              <w:br/>
            </w:r>
            <w:r>
              <w:rPr>
                <w:b w:val="0"/>
                <w:sz w:val="15"/>
              </w:rPr>
              <w:t>Parsed acc. 69.46%</w:t>
            </w:r>
          </w:p>
        </w:tc>
        <w:tc>
          <w:tcPr>
            <w:tcW w:type="dxa" w:w="2232"/>
            <w:shd w:fill="EAF1F4"/>
            <w:vAlign w:val="center"/>
          </w:tcPr>
          <w:p>
            <w:pPr>
              <w:spacing w:after="0" w:before="0"/>
            </w:pPr>
            <w:r/>
            <w:r>
              <w:rPr>
                <w:b w:val="0"/>
                <w:sz w:val="15"/>
              </w:rPr>
              <w:t>Acc. 53.56%</w:t>
            </w:r>
            <w:r>
              <w:br/>
            </w:r>
            <w:r>
              <w:rPr>
                <w:b w:val="0"/>
                <w:sz w:val="15"/>
              </w:rPr>
              <w:t>Parse 70.7%</w:t>
            </w:r>
            <w:r>
              <w:br/>
            </w:r>
            <w:r>
              <w:rPr>
                <w:b w:val="0"/>
                <w:sz w:val="15"/>
              </w:rPr>
              <w:t>Parsed acc. 75.79%</w:t>
            </w:r>
          </w:p>
        </w:tc>
        <w:tc>
          <w:tcPr>
            <w:tcW w:type="dxa" w:w="1800"/>
            <w:shd w:fill="EAF1F4"/>
            <w:vAlign w:val="center"/>
          </w:tcPr>
          <w:p>
            <w:pPr>
              <w:spacing w:after="0" w:before="0"/>
            </w:pPr>
            <w:r/>
            <w:r>
              <w:rPr>
                <w:b w:val="0"/>
                <w:sz w:val="15"/>
              </w:rPr>
              <w:t>Acc. 68.53%</w:t>
            </w:r>
            <w:r>
              <w:br/>
            </w:r>
            <w:r>
              <w:rPr>
                <w:b w:val="0"/>
                <w:sz w:val="15"/>
              </w:rPr>
              <w:t>Parse 95.4%</w:t>
            </w:r>
            <w:r>
              <w:br/>
            </w:r>
            <w:r>
              <w:rPr>
                <w:b w:val="0"/>
                <w:sz w:val="15"/>
              </w:rPr>
              <w:t>Parsed acc. 71.84%</w:t>
            </w:r>
          </w:p>
        </w:tc>
      </w:tr>
    </w:tbl>
    <w:p>
      <w:pPr>
        <w:spacing w:after="0"/>
      </w:pPr>
    </w:p>
    <w:p>
      <w:pPr>
        <w:spacing w:after="100"/>
        <w:jc w:val="center"/>
      </w:pPr>
      <w:r>
        <w:rPr>
          <w:i/>
          <w:sz w:val="16"/>
        </w:rPr>
        <w:t>Table 2. Baseline accuracy and output parseability (%).</w:t>
      </w:r>
    </w:p>
    <w:p>
      <w:pPr>
        <w:pStyle w:val="Heading2"/>
        <w:keepNext/>
      </w:pPr>
      <w:r>
        <w:t>Improved Prompt Results</w:t>
      </w:r>
    </w:p>
    <w:p>
      <w:pPr/>
      <w:r>
        <w:t>The full improved evaluation is in progress. Populate Table 3 and the comparison discussion after all 12 model-task runs complete and the final score file is available at results/improved/scores/improved_final.csv. Do not treat partial JSONL files as final results.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952"/>
            <w:shd w:fill="17324D"/>
            <w:vAlign w:val="center"/>
          </w:tcPr>
          <w:p>
            <w:pPr>
              <w:spacing w:after="0" w:before="0"/>
            </w:pPr>
            <w:r/>
            <w:r>
              <w:rPr>
                <w:b/>
                <w:color w:val="FFFFFF"/>
                <w:sz w:val="16"/>
              </w:rPr>
              <w:t>Model</w:t>
            </w:r>
          </w:p>
        </w:tc>
        <w:tc>
          <w:tcPr>
            <w:tcW w:type="dxa" w:w="2232"/>
            <w:shd w:fill="17324D"/>
            <w:vAlign w:val="center"/>
          </w:tcPr>
          <w:p>
            <w:pPr>
              <w:spacing w:after="0" w:before="0"/>
            </w:pPr>
            <w:r/>
            <w:r>
              <w:rPr>
                <w:b/>
                <w:color w:val="FFFFFF"/>
                <w:sz w:val="16"/>
              </w:rPr>
              <w:t>CommonsenseQA</w:t>
            </w:r>
          </w:p>
        </w:tc>
        <w:tc>
          <w:tcPr>
            <w:tcW w:type="dxa" w:w="2232"/>
            <w:shd w:fill="17324D"/>
            <w:vAlign w:val="center"/>
          </w:tcPr>
          <w:p>
            <w:pPr>
              <w:spacing w:after="0" w:before="0"/>
            </w:pPr>
            <w:r/>
            <w:r>
              <w:rPr>
                <w:b/>
                <w:color w:val="FFFFFF"/>
                <w:sz w:val="16"/>
              </w:rPr>
              <w:t>OpenbookQA</w:t>
            </w:r>
          </w:p>
        </w:tc>
        <w:tc>
          <w:tcPr>
            <w:tcW w:type="dxa" w:w="1800"/>
            <w:shd w:fill="17324D"/>
            <w:vAlign w:val="center"/>
          </w:tcPr>
          <w:p>
            <w:pPr>
              <w:spacing w:after="0" w:before="0"/>
            </w:pPr>
            <w:r/>
            <w:r>
              <w:rPr>
                <w:b/>
                <w:color w:val="FFFFFF"/>
                <w:sz w:val="16"/>
              </w:rPr>
              <w:t>PiQA</w:t>
            </w:r>
          </w:p>
        </w:tc>
      </w:tr>
      <w:tr>
        <w:tc>
          <w:tcPr>
            <w:tcW w:type="dxa" w:w="2952"/>
            <w:vAlign w:val="center"/>
          </w:tcPr>
          <w:p>
            <w:pPr>
              <w:spacing w:after="0" w:before="0"/>
            </w:pPr>
            <w:r/>
            <w:r>
              <w:rPr>
                <w:b w:val="0"/>
                <w:sz w:val="15"/>
              </w:rPr>
              <w:t>TinyLlama-1.1B-v1.1</w:t>
            </w:r>
          </w:p>
        </w:tc>
        <w:tc>
          <w:tcPr>
            <w:tcW w:type="dxa" w:w="2232"/>
            <w:vAlign w:val="center"/>
          </w:tcPr>
          <w:p>
            <w:pPr>
              <w:spacing w:after="0" w:before="0"/>
            </w:pPr>
            <w:r/>
            <w:r>
              <w:rPr>
                <w:b w:val="0"/>
                <w:sz w:val="15"/>
              </w:rPr>
              <w:t>Pending</w:t>
            </w:r>
          </w:p>
        </w:tc>
        <w:tc>
          <w:tcPr>
            <w:tcW w:type="dxa" w:w="2232"/>
            <w:vAlign w:val="center"/>
          </w:tcPr>
          <w:p>
            <w:pPr>
              <w:spacing w:after="0" w:before="0"/>
            </w:pPr>
            <w:r/>
            <w:r>
              <w:rPr>
                <w:b w:val="0"/>
                <w:sz w:val="15"/>
              </w:rPr>
              <w:t>Pending</w:t>
            </w:r>
          </w:p>
        </w:tc>
        <w:tc>
          <w:tcPr>
            <w:tcW w:type="dxa" w:w="1800"/>
            <w:vAlign w:val="center"/>
          </w:tcPr>
          <w:p>
            <w:pPr>
              <w:spacing w:after="0" w:before="0"/>
            </w:pPr>
            <w:r/>
            <w:r>
              <w:rPr>
                <w:b w:val="0"/>
                <w:sz w:val="15"/>
              </w:rPr>
              <w:t>Pending</w:t>
            </w:r>
          </w:p>
        </w:tc>
      </w:tr>
      <w:tr>
        <w:tc>
          <w:tcPr>
            <w:tcW w:type="dxa" w:w="2952"/>
            <w:shd w:fill="EAF1F4"/>
            <w:vAlign w:val="center"/>
          </w:tcPr>
          <w:p>
            <w:pPr>
              <w:spacing w:after="0" w:before="0"/>
            </w:pPr>
            <w:r/>
            <w:r>
              <w:rPr>
                <w:b w:val="0"/>
                <w:sz w:val="15"/>
              </w:rPr>
              <w:t>Qwen2.5-3B-Instruct</w:t>
            </w:r>
          </w:p>
        </w:tc>
        <w:tc>
          <w:tcPr>
            <w:tcW w:type="dxa" w:w="2232"/>
            <w:shd w:fill="EAF1F4"/>
            <w:vAlign w:val="center"/>
          </w:tcPr>
          <w:p>
            <w:pPr>
              <w:spacing w:after="0" w:before="0"/>
            </w:pPr>
            <w:r/>
            <w:r>
              <w:rPr>
                <w:b w:val="0"/>
                <w:sz w:val="15"/>
              </w:rPr>
              <w:t>Pending</w:t>
            </w:r>
          </w:p>
        </w:tc>
        <w:tc>
          <w:tcPr>
            <w:tcW w:type="dxa" w:w="2232"/>
            <w:shd w:fill="EAF1F4"/>
            <w:vAlign w:val="center"/>
          </w:tcPr>
          <w:p>
            <w:pPr>
              <w:spacing w:after="0" w:before="0"/>
            </w:pPr>
            <w:r/>
            <w:r>
              <w:rPr>
                <w:b w:val="0"/>
                <w:sz w:val="15"/>
              </w:rPr>
              <w:t>Pending</w:t>
            </w:r>
          </w:p>
        </w:tc>
        <w:tc>
          <w:tcPr>
            <w:tcW w:type="dxa" w:w="1800"/>
            <w:shd w:fill="EAF1F4"/>
            <w:vAlign w:val="center"/>
          </w:tcPr>
          <w:p>
            <w:pPr>
              <w:spacing w:after="0" w:before="0"/>
            </w:pPr>
            <w:r/>
            <w:r>
              <w:rPr>
                <w:b w:val="0"/>
                <w:sz w:val="15"/>
              </w:rPr>
              <w:t>Pending</w:t>
            </w:r>
          </w:p>
        </w:tc>
      </w:tr>
      <w:tr>
        <w:tc>
          <w:tcPr>
            <w:tcW w:type="dxa" w:w="2952"/>
            <w:vAlign w:val="center"/>
          </w:tcPr>
          <w:p>
            <w:pPr>
              <w:spacing w:after="0" w:before="0"/>
            </w:pPr>
            <w:r/>
            <w:r>
              <w:rPr>
                <w:b w:val="0"/>
                <w:sz w:val="15"/>
              </w:rPr>
              <w:t>DeepSeek-R1-Distill-Qwen-1.5B</w:t>
            </w:r>
          </w:p>
        </w:tc>
        <w:tc>
          <w:tcPr>
            <w:tcW w:type="dxa" w:w="2232"/>
            <w:vAlign w:val="center"/>
          </w:tcPr>
          <w:p>
            <w:pPr>
              <w:spacing w:after="0" w:before="0"/>
            </w:pPr>
            <w:r/>
            <w:r>
              <w:rPr>
                <w:b w:val="0"/>
                <w:sz w:val="15"/>
              </w:rPr>
              <w:t>Pending</w:t>
            </w:r>
          </w:p>
        </w:tc>
        <w:tc>
          <w:tcPr>
            <w:tcW w:type="dxa" w:w="2232"/>
            <w:vAlign w:val="center"/>
          </w:tcPr>
          <w:p>
            <w:pPr>
              <w:spacing w:after="0" w:before="0"/>
            </w:pPr>
            <w:r/>
            <w:r>
              <w:rPr>
                <w:b w:val="0"/>
                <w:sz w:val="15"/>
              </w:rPr>
              <w:t>Pending</w:t>
            </w:r>
          </w:p>
        </w:tc>
        <w:tc>
          <w:tcPr>
            <w:tcW w:type="dxa" w:w="1800"/>
            <w:vAlign w:val="center"/>
          </w:tcPr>
          <w:p>
            <w:pPr>
              <w:spacing w:after="0" w:before="0"/>
            </w:pPr>
            <w:r/>
            <w:r>
              <w:rPr>
                <w:b w:val="0"/>
                <w:sz w:val="15"/>
              </w:rPr>
              <w:t>Pending</w:t>
            </w:r>
          </w:p>
        </w:tc>
      </w:tr>
      <w:tr>
        <w:tc>
          <w:tcPr>
            <w:tcW w:type="dxa" w:w="2952"/>
            <w:shd w:fill="EAF1F4"/>
            <w:vAlign w:val="center"/>
          </w:tcPr>
          <w:p>
            <w:pPr>
              <w:spacing w:after="0" w:before="0"/>
            </w:pPr>
            <w:r/>
            <w:r>
              <w:rPr>
                <w:b w:val="0"/>
                <w:sz w:val="15"/>
              </w:rPr>
              <w:t>Qwen3-4B-Instruct-2507</w:t>
            </w:r>
          </w:p>
        </w:tc>
        <w:tc>
          <w:tcPr>
            <w:tcW w:type="dxa" w:w="2232"/>
            <w:shd w:fill="EAF1F4"/>
            <w:vAlign w:val="center"/>
          </w:tcPr>
          <w:p>
            <w:pPr>
              <w:spacing w:after="0" w:before="0"/>
            </w:pPr>
            <w:r/>
            <w:r>
              <w:rPr>
                <w:b w:val="0"/>
                <w:sz w:val="15"/>
              </w:rPr>
              <w:t>Pending</w:t>
            </w:r>
          </w:p>
        </w:tc>
        <w:tc>
          <w:tcPr>
            <w:tcW w:type="dxa" w:w="2232"/>
            <w:shd w:fill="EAF1F4"/>
            <w:vAlign w:val="center"/>
          </w:tcPr>
          <w:p>
            <w:pPr>
              <w:spacing w:after="0" w:before="0"/>
            </w:pPr>
            <w:r/>
            <w:r>
              <w:rPr>
                <w:b w:val="0"/>
                <w:sz w:val="15"/>
              </w:rPr>
              <w:t>Pending</w:t>
            </w:r>
          </w:p>
        </w:tc>
        <w:tc>
          <w:tcPr>
            <w:tcW w:type="dxa" w:w="1800"/>
            <w:shd w:fill="EAF1F4"/>
            <w:vAlign w:val="center"/>
          </w:tcPr>
          <w:p>
            <w:pPr>
              <w:spacing w:after="0" w:before="0"/>
            </w:pPr>
            <w:r/>
            <w:r>
              <w:rPr>
                <w:b w:val="0"/>
                <w:sz w:val="15"/>
              </w:rPr>
              <w:t>Pending</w:t>
            </w:r>
          </w:p>
        </w:tc>
      </w:tr>
    </w:tbl>
    <w:p>
      <w:pPr>
        <w:spacing w:after="0"/>
      </w:pPr>
    </w:p>
    <w:p>
      <w:pPr>
        <w:jc w:val="center"/>
      </w:pPr>
      <w:r>
        <w:rPr>
          <w:i/>
          <w:sz w:val="16"/>
        </w:rPr>
        <w:t>Table 3. Improved prompt results (to be completed).</w:t>
      </w:r>
    </w:p>
    <w:p>
      <w:pPr>
        <w:pStyle w:val="Heading2"/>
        <w:keepNext/>
      </w:pPr>
      <w:r>
        <w:t>Baseline Observations</w:t>
      </w:r>
    </w:p>
    <w:p>
      <w:pPr>
        <w:pStyle w:val="ListBullet"/>
        <w:spacing w:after="40"/>
        <w:ind w:left="259" w:hanging="173"/>
      </w:pPr>
      <w:r>
        <w:t>Qwen2.5 has the most consistent baseline parse rates (82.9-88.5%) across the three tasks.</w:t>
      </w:r>
    </w:p>
    <w:p>
      <w:pPr>
        <w:pStyle w:val="ListBullet"/>
        <w:spacing w:after="40"/>
        <w:ind w:left="259" w:hanging="173"/>
      </w:pPr>
      <w:r>
        <w:t>Qwen3 reaches 68.53% overall accuracy on PiQA, but its CommonsenseQA parse rate is 60.4%; overall accuracy there should be interpreted with this limitation in view.</w:t>
      </w:r>
    </w:p>
    <w:p>
      <w:pPr>
        <w:pStyle w:val="ListBullet"/>
        <w:spacing w:after="40"/>
        <w:ind w:left="259" w:hanging="173"/>
      </w:pPr>
      <w:r>
        <w:t>TinyLlama has low parse rates (9.4-34.5%). Its outputs often continue the prompt or do not provide an extractable choice, so overall accuracy understates performance on the small parsed subset and is not a clean ability estimate.</w:t>
      </w:r>
    </w:p>
    <w:p>
      <w:pPr>
        <w:pStyle w:val="ListBullet"/>
        <w:spacing w:after="40"/>
        <w:ind w:left="259" w:hanging="173"/>
      </w:pPr>
      <w:r>
        <w:t>DeepSeek's PiQA parse rate is 50.0%, compared with 86.8-94.5% on the other tasks; its total accuracy is therefore especially sensitive to output format and answer completion.</w:t>
      </w:r>
    </w:p>
    <w:p>
      <w:r>
        <w:br w:type="page"/>
      </w:r>
    </w:p>
    <w:p>
      <w:pPr>
        <w:pStyle w:val="Heading1"/>
        <w:keepNext/>
      </w:pPr>
      <w:r>
        <w:t>3. Discussion and Limitations</w:t>
      </w:r>
    </w:p>
    <w:p>
      <w:pPr/>
      <w:r>
        <w:t>The baseline results show that model size or reasoning-oriented training alone does not guarantee strong accuracy on these tasks under a short, open-ended answer prompt. Output behavior matters: an answer may be correct in the generation but not recoverable as a unique label. The improved prompt is designed to reduce that format failure. Its effectiveness must be judged using both overall accuracy and parse rate, alongside parsed accuracy, once the full matrix is complete.</w:t>
      </w:r>
    </w:p>
    <w:p>
      <w:pPr>
        <w:pStyle w:val="Heading2"/>
        <w:keepNext/>
      </w:pPr>
      <w:r>
        <w:t>Interpretation After Improved Runs</w:t>
      </w:r>
    </w:p>
    <w:p>
      <w:pPr>
        <w:pStyle w:val="ListBullet"/>
        <w:spacing w:after="40"/>
        <w:ind w:left="259" w:hanging="173"/>
      </w:pPr>
      <w:r>
        <w:t>If parse rate rises while parsed accuracy is stable, the main gain is more reliable answer formatting rather than a clear increase in task-solving accuracy.</w:t>
      </w:r>
    </w:p>
    <w:p>
      <w:pPr>
        <w:pStyle w:val="ListBullet"/>
        <w:spacing w:after="40"/>
        <w:ind w:left="259" w:hanging="173"/>
      </w:pPr>
      <w:r>
        <w:t>If both overall and parsed accuracy rise, the prompt may also have helped models focus on selecting among the provided options.</w:t>
      </w:r>
    </w:p>
    <w:p>
      <w:pPr>
        <w:pStyle w:val="ListBullet"/>
        <w:spacing w:after="40"/>
        <w:ind w:left="259" w:hanging="173"/>
      </w:pPr>
      <w:r>
        <w:t>If a model remains strongly concentrated on one label, report its prediction distribution and compare it with the gold-label distribution; accuracy alone can hide a degenerate predictor.</w:t>
      </w:r>
    </w:p>
    <w:p>
      <w:pPr>
        <w:pStyle w:val="Heading2"/>
        <w:keepNext/>
      </w:pPr>
      <w:r>
        <w:t>Limitations</w:t>
      </w:r>
    </w:p>
    <w:p>
      <w:pPr>
        <w:pStyle w:val="ListBullet"/>
        <w:spacing w:after="40"/>
        <w:ind w:left="259" w:hanging="173"/>
      </w:pPr>
      <w:r>
        <w:t>The evaluation uses one dataset split and one greedy generation per question; results may vary with sampling or alternative prompt wording.</w:t>
      </w:r>
    </w:p>
    <w:p>
      <w:pPr>
        <w:pStyle w:val="ListBullet"/>
        <w:spacing w:after="40"/>
        <w:ind w:left="259" w:hanging="173"/>
      </w:pPr>
      <w:r>
        <w:t>The parser is deliberately conservative when outputs mention multiple choices. This avoids crediting a distractor mention as the selected answer, but may classify some answer-bearing explanations as unparsed.</w:t>
      </w:r>
    </w:p>
    <w:p>
      <w:pPr>
        <w:pStyle w:val="ListBullet"/>
        <w:spacing w:after="40"/>
        <w:ind w:left="259" w:hanging="173"/>
      </w:pPr>
      <w:r>
        <w:t>Model-card results use different datasets, prompts, decoding settings, and metrics. They provide capability context, not directly comparable target scores for this experiment.</w:t>
      </w:r>
    </w:p>
    <w:p>
      <w:pPr>
        <w:pStyle w:val="ListBullet"/>
        <w:spacing w:after="40"/>
        <w:ind w:left="259" w:hanging="173"/>
      </w:pPr>
      <w:r>
        <w:t>The current comparison changes the prompt, while task samples and per-model generation settings remain fixed. Any conclusions should be limited to this setup.</w:t>
      </w:r>
    </w:p>
    <w:p>
      <w:pPr>
        <w:pStyle w:val="Heading2"/>
        <w:keepNext/>
      </w:pPr>
      <w:r>
        <w:t>References</w:t>
      </w:r>
    </w:p>
    <w:p>
      <w:pPr>
        <w:pStyle w:val="ListBullet"/>
        <w:spacing w:after="40"/>
        <w:ind w:left="259" w:hanging="173"/>
      </w:pPr>
      <w:r>
        <w:t>Open-Style, Open-LLM-Benchmark dataset: https://huggingface.co/datasets/Open-Style/Open-LLM-Benchmark</w:t>
      </w:r>
    </w:p>
    <w:p>
      <w:pPr>
        <w:pStyle w:val="ListBullet"/>
        <w:spacing w:after="40"/>
        <w:ind w:left="259" w:hanging="173"/>
      </w:pPr>
      <w:r>
        <w:t>TinyLlama model card: https://huggingface.co/TinyLlama/TinyLlama_v1.1</w:t>
      </w:r>
    </w:p>
    <w:p>
      <w:pPr>
        <w:pStyle w:val="ListBullet"/>
        <w:spacing w:after="40"/>
        <w:ind w:left="259" w:hanging="173"/>
      </w:pPr>
      <w:r>
        <w:t>Qwen2.5-3B-Instruct model card: https://huggingface.co/Qwen/Qwen2.5-3B-Instruct</w:t>
      </w:r>
    </w:p>
    <w:p>
      <w:pPr>
        <w:pStyle w:val="ListBullet"/>
        <w:spacing w:after="40"/>
        <w:ind w:left="259" w:hanging="173"/>
      </w:pPr>
      <w:r>
        <w:t>DeepSeek-R1-Distill-Qwen-1.5B model card: https://huggingface.co/deepseek-ai/DeepSeek-R1-Distill-Qwen-1.5B</w:t>
      </w:r>
    </w:p>
    <w:p>
      <w:pPr>
        <w:pStyle w:val="ListBullet"/>
        <w:spacing w:after="40"/>
        <w:ind w:left="259" w:hanging="173"/>
      </w:pPr>
      <w:r>
        <w:t>Qwen3-4B-Instruct-2507 model card: https://huggingface.co/Qwen/Qwen3-4B-Instruct-2507</w:t>
      </w:r>
    </w:p>
    <w:p>
      <w:pPr>
        <w:spacing w:before="120"/>
      </w:pPr>
      <w:r>
        <w:rPr>
          <w:b/>
          <w:color w:val="246A73"/>
          <w:sz w:val="17"/>
        </w:rPr>
        <w:t>Before submission: fill in student details, replace the improved-results placeholders, update the comparison and conclusion from the final scores, and verify the exported page count (maximum five pages including this cover).</w:t>
      </w:r>
    </w:p>
    <w:sectPr w:rsidR="00FC693F" w:rsidRPr="0006063C" w:rsidSect="00034616">
      <w:headerReference w:type="default" r:id="rId9"/>
      <w:footerReference w:type="default" r:id="rId10"/>
      <w:pgSz w:w="12240" w:h="15840"/>
      <w:pgMar w:top="835"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46A73"/>
        <w:sz w:val="16"/>
      </w:rPr>
      <w:t>AI6130  |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46A7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