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申报资料解析与文案生成智能体项目申报书</w:t>
      </w:r>
    </w:p>
    <w:p>
      <w:pPr>
        <w:pStyle w:val="Subtitle"/>
      </w:pPr>
      <w:r>
        <w:t>申报参谋 比赛交付说明</w:t>
      </w:r>
    </w:p>
    <w:p>
      <w:pPr>
        <w:pStyle w:val="Heading1"/>
      </w:pPr>
      <w:r>
        <w:t>课题与业务价值</w:t>
      </w:r>
    </w:p>
    <w:p>
      <w:r>
        <w:t>申报参谋完成政企政策解析、企业资格核验、差距指导及申报文案生成。交付包含可运行工程、Windows免安装客户端、真实模型验收证据和带中文神经语音及字幕的操作演示，供比赛评审直接复现。</w:t>
      </w:r>
    </w:p>
    <w:p>
      <w:pPr>
        <w:pStyle w:val="Heading2"/>
      </w:pPr>
      <w:r>
        <w:t>申报基本信息</w:t>
      </w:r>
    </w:p>
    <w:p>
      <w:r>
        <w:t>课题名称：申报资料解析与文案生成智能体。产品名称：申报参谋。项目类型：Windows桌面管理窗口与本地浏览器工作台。完成日期：2026年10月13日。参赛人：黄炜皓。参赛单位：广东科技学院。联系方式：见本地完整申报书。</w:t>
      </w:r>
    </w:p>
    <w:p>
      <w:pPr>
        <w:pStyle w:val="Heading2"/>
      </w:pPr>
      <w:r>
        <w:t>业务问题</w:t>
      </w:r>
    </w:p>
    <w:p>
      <w:r>
        <w:t>企业申报前要阅读较长政策文件，比较地区、年限、财务及知识产权条件，还要分别跟踪网报和纸质截止节点。人工处理易遗漏条件、混淆资助上限与获批金额，也难把缺口转成可以执行的材料准备动作。</w:t>
      </w:r>
    </w:p>
    <w:p>
      <w:pPr>
        <w:pStyle w:val="Heading2"/>
      </w:pPr>
      <w:r>
        <w:t>产品方案</w:t>
      </w:r>
    </w:p>
    <w:p>
      <w:r>
        <w:t>系统以大模型Agent工作流为中枢，先建立原文索引并提取政策结构，再通过程序逐条件核验企业画像，提供项目匹配度和资格结论。选择项目后，系统检索相关政策及企业原文，生成申报前置规划、完整章节的Word草稿与附件清单。</w:t>
      </w:r>
    </w:p>
    <w:p>
      <w:pPr>
        <w:pStyle w:val="Heading2"/>
      </w:pPr>
      <w:r>
        <w:t>使用场景</w:t>
      </w:r>
    </w:p>
    <w:p>
      <w:r>
        <w:t>项目负责人导入政策指南与企业基础档案，确认每项条件和原文依据，识别可申报项目与需要提前补足的储备项目。财务、研发和行政可根据附件清单分工收集材料，并在日历中分别安排网上和纸质提交。系统辅助准备与复核，不代替主管部门审批。</w:t>
      </w:r>
    </w:p>
    <w:p>
      <w:r>
        <w:br w:type="page"/>
      </w:r>
    </w:p>
    <w:p>
      <w:pPr>
        <w:pStyle w:val="Heading1"/>
      </w:pPr>
      <w:r>
        <w:t>能力设计与技术实现</w:t>
      </w:r>
    </w:p>
    <w:p>
      <w:r>
        <w:t>架构把语义理解与可复核计算分开：DeepSeek读取政策并通过命名函数工具提交结构化结果；程序完成数值比较、证据存在性校验、字数校验和导出。每次成功调用记录实际模型名、工具名、用量、耗时与响应编号。</w:t>
      </w:r>
    </w:p>
    <w:p>
      <w:pPr>
        <w:pStyle w:val="Heading2"/>
      </w:pPr>
      <w:r>
        <w:t>政策和画像解析</w:t>
      </w:r>
    </w:p>
    <w:p>
      <w:r>
        <w:t>支持UTF-8文本、DOCX和可提取文字的PDF。按项目提取资助上限、主体资格条件、截止节点及附件。企业JSON直接读取；文本档案通过模型提取字段并检查原文依据。画像包括注册地、成立年限、资产、营收、研发占比、有效发明专利和人员规模。</w:t>
      </w:r>
    </w:p>
    <w:p>
      <w:pPr>
        <w:pStyle w:val="Heading2"/>
      </w:pPr>
      <w:r>
        <w:t>资格和差距计算</w:t>
      </w:r>
    </w:p>
    <w:p>
      <w:r>
        <w:t>同一字段按指定比较符和Decimal数值核验，条件等权计分。缺失字段或未自动表示的资格条件标记待核实，任一硬条件不达标则不符合。资金按万元、研发比例按百分数输入，财务年度不一致时不自动判为通过。</w:t>
      </w:r>
    </w:p>
    <w:p>
      <w:pPr>
        <w:pStyle w:val="Heading2"/>
      </w:pPr>
      <w:r>
        <w:t>知识库和文案</w:t>
      </w:r>
    </w:p>
    <w:p>
      <w:r>
        <w:t>原文按约700字符分块并重叠100字符，政策和企业块分别编号P和E。用中文连续双字交集检索相关证据，模型基于选中项目、画像和召回原文生成文案。正文须超过1000个中文字，引用须属于本轮证据集合；预算、效益、专利名称与团队履历缺失时由企业确认。</w:t>
      </w:r>
    </w:p>
    <w:p>
      <w:pPr>
        <w:pStyle w:val="Heading2"/>
      </w:pPr>
      <w:r>
        <w:t>生命周期与部署</w:t>
      </w:r>
    </w:p>
    <w:p>
      <w:r>
        <w:t>本机SQLite保存原文、索引、结果与提醒。北京时间节点按提前7、3、1天窗口检查，服务每分钟扫描并持久化去重；Windows原生管理窗口提供弹窗，浏览器通知需授权。ICS可导入日历。免安装包内置官方CPython与Windows二进制依赖，源码与部署手册同步交付。</w:t>
      </w:r>
    </w:p>
    <w:p>
      <w:r>
        <w:br w:type="page"/>
      </w:r>
    </w:p>
    <w:p>
      <w:pPr>
        <w:pStyle w:val="Heading1"/>
      </w:pPr>
      <w:r>
        <w:t>真实验收与结果</w:t>
      </w:r>
    </w:p>
    <w:p>
      <w:r>
        <w:t>验收采用明确虚构的澄江省科技项目指南与澄江智造企业档案。解析和写作真实调用DeepSeek；程序以本次提取条件计算得分。两次写作结果分别保存，视频数值以视频本轮结果为准。</w:t>
      </w:r>
    </w:p>
    <w:p>
      <w:pPr>
        <w:pStyle w:val="Heading2"/>
      </w:pPr>
      <w:r>
        <w:t>资格匹配验收</w:t>
      </w:r>
    </w:p>
    <w:p>
      <w:r>
        <w:t>企业成立5年，2025年度营收1800万元、研发占比4.8%、有效发明专利3项。智能制造研发专项要求澄江省、成立不少于3年、营收不少于1000万元、研发占比不低于4%、专利不少于2项。五项通过，得分100%，结论符合形式条件；资助80万元是上限。</w:t>
      </w:r>
    </w:p>
    <w:p>
      <w:pPr>
        <w:pStyle w:val="Heading2"/>
      </w:pPr>
      <w:r>
        <w:t>高价值储备项目</w:t>
      </w:r>
    </w:p>
    <w:p>
      <w:r>
        <w:t>储备专项资助上限150万元，研发占比要求6%、有效发明专利要求5项。企业仅三项条件达标，得分60%，结论不符合；分别缺1.2个百分点与2项有效发明专利。补足建议不承诺短期可达到，也不把未符合项目写成当前具备资格。</w:t>
      </w:r>
    </w:p>
    <w:p>
      <w:pPr>
        <w:pStyle w:val="Heading2"/>
      </w:pPr>
      <w:r>
        <w:t>文案与文件验收</w:t>
      </w:r>
    </w:p>
    <w:p>
      <w:r>
        <w:t>独立真实模型验收生成4324个中文字；视频本轮生成3899个中文字，均超过1000字要求。文案包含立项背景、企业优势、技术路线、实施计划、研发组织、预算、效益、材料准备和风险。导出Word草稿、MD规划、CSV附件清单、ICS及运行证据，并对每个导出文件记录SHA256。</w:t>
      </w:r>
    </w:p>
    <w:p>
      <w:pPr>
        <w:pStyle w:val="Heading2"/>
      </w:pPr>
      <w:r>
        <w:t>测试与演示</w:t>
      </w:r>
    </w:p>
    <w:p>
      <w:r>
        <w:t>16项自动化测试覆盖阈值边界、缺失信息、其他硬条件、原文阈值幻觉、财务年度、截止时刻、ICS、提醒去重、SQLite持久化与Word正文完整性。Windows CI验证规则、Win32窗口及嵌入式依赖导入。演示展示真实文件输入、鼠标与键盘操作、匹配、文案、日历、问答与导出。</w:t>
      </w:r>
    </w:p>
    <w:p>
      <w:r>
        <w:br w:type="page"/>
      </w:r>
    </w:p>
    <w:p>
      <w:pPr>
        <w:pStyle w:val="Heading1"/>
      </w:pPr>
      <w:r>
        <w:t>交付清单与使用边界</w:t>
      </w:r>
    </w:p>
    <w:p>
      <w:r>
        <w:t>评委可优先观看演示视频，再解压Windows免安装包，填入自己的模型Key并按手册复现实测样例。公开仓库提供完整工程和验证记录，提交整包同步包含视频、说明和可复现输入。</w:t>
      </w:r>
    </w:p>
    <w:p>
      <w:pPr>
        <w:pStyle w:val="Heading2"/>
      </w:pPr>
      <w:r>
        <w:t>交付内容</w:t>
      </w:r>
    </w:p>
    <w:p>
      <w:r>
        <w:t>项目申报书、Windows免安装包、工程源码ZIP、本地部署与操作手册、知识库索引与Agent工作流、需求验收对应、版本与验证范围、真实模型及视频运行证据、模拟输入样例、Word示例成果、中文神经语音MP4、同步SRT、口语化解说词以及文件校验清单。</w:t>
      </w:r>
    </w:p>
    <w:p>
      <w:pPr>
        <w:pStyle w:val="Heading2"/>
      </w:pPr>
      <w:r>
        <w:t>复现方式</w:t>
      </w:r>
    </w:p>
    <w:p>
      <w:r>
        <w:t>解压Windows便携包至可写目录并双击启动，在模型设置配置可用DeepSeek Key；选定样例政策和企业档案，点击解析，再选择项目生成并导出。Key只在本机配置；运行资料可经SQLite备份。支持源码启动及GitHub Actions重新构建Windows包。</w:t>
      </w:r>
    </w:p>
    <w:p>
      <w:pPr>
        <w:pStyle w:val="Heading2"/>
      </w:pPr>
      <w:r>
        <w:t>能力边界</w:t>
      </w:r>
    </w:p>
    <w:p>
      <w:r>
        <w:t>模型输出校验引用是否存在，不能证明每一句推理完全正确。任意政策中的复杂或关系、多年度财务口径和无失信等条件仍需人工核实。扫描PDF未实现OCR；长文本输入上限不等于性能压力测试。没有真实企业规模化准确率、完整Windows人工使用验证或生产级高并发指标。</w:t>
      </w:r>
    </w:p>
    <w:p>
      <w:pPr>
        <w:pStyle w:val="Heading2"/>
      </w:pPr>
      <w:r>
        <w:t>加分项说明</w:t>
      </w:r>
    </w:p>
    <w:p>
      <w:r>
        <w:t>Word生成的是完整章节草稿，尚未集成主管部门正式模板，预算、效益、签章和官方格式需企业确认，不能宣称已生成审核完成的最终版。移动端及微信仅预留adapter事件契约，未接入实际推送。比赛材料2026年5月31日時效加分节点已过，本项目按2026年10月实际完成，不主张过期加分。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申报参谋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cs="Arial" w:eastAsia="LXGW WenKai"/>
      <w:sz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LXGW WenKai"/>
      <w:b/>
      <w:bCs/>
      <w:color w:val="000000"/>
      <w:sz w:val="30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LXGW WenKai"/>
      <w:b/>
      <w:bCs/>
      <w:color w:val="000000"/>
      <w:sz w:val="24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LXGW WenKai"/>
      <w:color w:val="000000"/>
      <w:spacing w:val="5"/>
      <w:kern w:val="28"/>
      <w:sz w:val="44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LXGW WenKai"/>
      <w:i/>
      <w:iCs/>
      <w:color w:val="4F81BD" w:themeColor="accent1"/>
      <w:spacing w:val="15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LXGW WenKai"/>
      <w:b/>
      <w:bCs/>
      <w:color w:val="4F81BD" w:themeColor="accent1"/>
      <w:sz w:val="18"/>
      <w:szCs w:val="18"/>
      <w:lang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