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项目申报书草稿</w:t>
      </w:r>
    </w:p>
    <w:p>
      <w:pPr>
        <w:pStyle w:val="Heading1"/>
      </w:pPr>
      <w:r>
        <w:t>智能制造研发专项申报前置规划与申报书草稿（澄江智造科技有限公司）</w:t>
      </w:r>
    </w:p>
    <w:p>
      <w:r>
        <w:t>企业：澄江智造科技有限公司（虚构）</w:t>
        <w:br/>
        <w:t>政策项目：智能制造研发专项</w:t>
        <w:br/>
        <w:t>生成时间：2026-10-13T14:03:08</w:t>
        <w:br/>
        <w:t>性质：待人工复核的申报书草稿；模拟资料</w:t>
      </w:r>
    </w:p>
    <w:p>
      <w:r>
        <w:t>本文件包含申报前置规划及申报书草稿，供企业收集附件和开展人工复核。符合形式条件不代表立项获批。主管部门的正式申报模板优先，未知预算、效益、团队履历等内容须确认后填写。</w:t>
      </w:r>
    </w:p>
    <w:p>
      <w:pPr>
        <w:pStyle w:val="Heading1"/>
      </w:pPr>
      <w:r>
        <w:t>一、申报事项与资格核对结论</w:t>
      </w:r>
    </w:p>
    <w:p>
      <w:r>
        <w:t>本次拟申报的是2026年度澄江省科技创新项目申报指南中的智能制造研发专项，该专项支持智能制造关键技术研发，单个项目最高资助80万元，最终金额以主管部门评审为准，80万元是资助上限而非已确定或可预期的获批金额。指南规定的网报截止日期为2026年11月15日17:00，纸质材料截止日期为2026年11月20日17:00，均为北京时间，两个时间节点之间仅相隔五个自然日，纸质材料的准备必须与网报同步推进，不能等网报通过后再启动。以上政策口径来自给定政策分块P001，属于事实性内容。</w:t>
      </w:r>
    </w:p>
    <w:p>
      <w:r>
        <w:t>按指南列明的五项形式条件逐项核对，企业注册地在澄江省，成立年限5年，2025年度营业收入1800万元，2025年度研发费用86.4万元、占营业收入比例4.8%，拥有有效发明专利3项，五项条件全部达标，形式条件匹配度为5/5。需要特别说明的是，该匹配度按等权计算，只反映形式条件是否满足，不是获批概率，也不代表评审环节的技术与财务评分结果。满足形式条件不等于立项获批，这一点在政策材料P002中已有明确提醒。</w:t>
      </w:r>
    </w:p>
    <w:p>
      <w:r>
        <w:t>另需提示，指南中另设重点攻关储备专项，最高资助150万元，但要求研发费用占营业收入比例不低于6%、有效发明专利不少于5项。企业当前研发占比4.8%、发明专利3项，均未达到该专项门槛，因此本次不具备该专项的申报资格，只能作为后续储备方向，在研发投入强度和知识产权积累达到要求后再行评估。本规划不涉及该专项的申报动作。</w:t>
      </w:r>
    </w:p>
    <w:p>
      <w:pPr>
        <w:pStyle w:val="Caption"/>
      </w:pPr>
      <w:r>
        <w:t>原文索引：P001、P002、E001</w:t>
      </w:r>
    </w:p>
    <w:p>
      <w:pPr>
        <w:pStyle w:val="Heading1"/>
      </w:pPr>
      <w:r>
        <w:t>二、立项背景与需求来源</w:t>
      </w:r>
    </w:p>
    <w:p>
      <w:r>
        <w:t>企业主营业务为工业设备数据采集、状态监测和柔性产线协同软件研发，服务对象集中在采用柔性生产组织方式的制造企业。柔性产线的典型特征是换线频繁、工艺参数切换密集、设备负荷波动大，传统按固定节拍设计的监测与调度方式难以适配，设备异常往往在造成停线后才被发现，产线协同也主要依赖人工经验判断。企业拟通过本项目完善数据采集链路、异常识别流程和调度辅助功能，形成面向柔性产线的设备状态监测与协同优化能力。以上业务描述与项目名称来自企业档案E001，属于事实性内容。</w:t>
      </w:r>
    </w:p>
    <w:p>
      <w:r>
        <w:t>从需求侧看，柔性产线对设备状态数据的完整性、时效性和可解释性提出了更高要求，既需要覆盖多源设备的数据采集能力，也需要在数据不完整、工况多变的条件下给出可用的异常判断，还需要把设备状态信息转化为调度层面的辅助建议。企业现有研发积累集中在数据采集与状态监测软件方向，具备向协同优化延伸的基础，但尚无可公开验证的产品性能提升数据，因此本项目的技术指标目标需要在实施前由企业结合内部测试数据确认，本稿不预设具体数值。</w:t>
      </w:r>
    </w:p>
    <w:p>
      <w:r>
        <w:t>需要说明的是，上述需求判断属于基于企业档案的规划性描述，尚未经过第三方市场调研或客户访谈验证。建议企业在正式申报前补充目标客户的场景说明与需求确认材料，用于支撑立项必要性论证，相关客户名称与场景细节待企业确认。</w:t>
      </w:r>
    </w:p>
    <w:p>
      <w:pPr>
        <w:pStyle w:val="Caption"/>
      </w:pPr>
      <w:r>
        <w:t>原文索引：E001</w:t>
      </w:r>
    </w:p>
    <w:p>
      <w:pPr>
        <w:pStyle w:val="Heading1"/>
      </w:pPr>
      <w:r>
        <w:t>三、企业优势与现有基础</w:t>
      </w:r>
    </w:p>
    <w:p>
      <w:r>
        <w:t>企业成立于5年前，注册地在澄江省，2025年度营业收入1800万元，研发费用86.4万元，研发费用占营业收入比例4.8%，员工68人，资产总额2600万元，拥有有效发明专利3项。上述数据来自企业档案E001，属于事实性内容，正式申报时须与2025年度审计报告、研发费用专项说明及专利证书保持一致，任何口径差异都可能在形式审查或后续核查中形成风险。</w:t>
      </w:r>
    </w:p>
    <w:p>
      <w:r>
        <w:t>从研发投入结构看，4.8%的研发占比高于本专项4%的门槛，具备一定的持续投入基础；3项有效发明专利高于2项的门槛，说明企业在数据采集与状态监测方向已有知识产权积累。但企业档案同时明确，现有3项专利的具体名称、法律状态细节尚未提供，也没有可公开验证的产品性能提升数据，因此本稿不列举专利名称，也不引用任何性能指标。专利名称、专利号、授权日与法律状态证明待企业确认后据实填写。</w:t>
      </w:r>
    </w:p>
    <w:p>
      <w:r>
        <w:t>企业优势的论证还需要团队履历与项目经验支撑。目前企业档案未提供项目团队履历、核心技术人员背景、既往项目交付记录及客户名单，本稿不作推测性描述。建议企业在申报前整理项目负责人及核心成员的专业背景、在研项目情况与分工安排，作为研发组织章节的支撑材料，具体内容待企业确认。</w:t>
      </w:r>
    </w:p>
    <w:p>
      <w:pPr>
        <w:pStyle w:val="Caption"/>
      </w:pPr>
      <w:r>
        <w:t>原文索引：E001</w:t>
      </w:r>
    </w:p>
    <w:p>
      <w:pPr>
        <w:pStyle w:val="Heading1"/>
      </w:pPr>
      <w:r>
        <w:t>四、技术路线（待确认规划）</w:t>
      </w:r>
    </w:p>
    <w:p>
      <w:r>
        <w:t>以下技术路线属于待确认的规划性内容，不是已经完成的技术方案，需由企业技术负责人审核后定稿。规划思路分为三个层次：第一层是数据采集链路的完善，围绕柔性产线多源设备的接口差异，规划统一的数据接入与预处理环节，解决数据缺失、时间戳不一致等问题；第二层是异常识别流程的构建，规划在工况切换频繁的条件下区分正常波动与真实异常，降低误报与漏报；第三层是调度辅助功能，规划将设备状态与健康度信息转化为产线排产与维护安排的辅助建议。三个层次之间存在数据依赖关系，建议按顺序推进，避免并行铺开导致验证不充分。</w:t>
      </w:r>
    </w:p>
    <w:p>
      <w:r>
        <w:t>技术路线的关键难点在于柔性工况下的泛化能力。换线过程中设备运行参数会发生系统性变化，若异常识别模型仅基于单一工况数据训练，容易在换线后产生大量误报。规划中的应对思路是引入工况标识与分段建模机制，并保留人工复核环节作为兜底。该思路属于待验证的技术假设，是否可行需通过企业内部的实验数据确认，本稿不给出准确率、响应时间、覆盖率等具体指标，相关性能目标待企业确认。</w:t>
      </w:r>
    </w:p>
    <w:p>
      <w:r>
        <w:t>技术路线的表述还需与知识产权布局衔接。企业现有3项有效发明专利，本项目实施过程中可能产生新的技术方案，建议在项目启动阶段即开展专利检索与申请规划，明确哪些技术点拟申请专利、哪些作为技术秘密保护。检索结论与申请计划待企业确认，本稿不预设申请数量。</w:t>
      </w:r>
    </w:p>
    <w:p>
      <w:pPr>
        <w:pStyle w:val="Caption"/>
      </w:pPr>
      <w:r>
        <w:t>原文索引：E001</w:t>
      </w:r>
    </w:p>
    <w:p>
      <w:pPr>
        <w:pStyle w:val="Heading1"/>
      </w:pPr>
      <w:r>
        <w:t>五、实施进度安排（待确认规划）</w:t>
      </w:r>
    </w:p>
    <w:p>
      <w:r>
        <w:t>以下进度安排属于待确认的规划性内容，需结合企业实际研发节奏与网报、纸质材料两个截止日期倒排后定稿。考虑到网报截止日期为2026年11月15日17:00、纸质材料截止日期为2026年11月20日17:00，申报材料的准备期与项目本身的实施期需要分开管理，本节的进度指项目立项后的研发实施节奏，而非申报材料准备节奏。</w:t>
      </w:r>
    </w:p>
    <w:p>
      <w:r>
        <w:t>规划中的实施节奏建议划分为四个阶段：第一阶段完成需求细化与方案设计，明确数据采集范围、接口清单与验证方法；第二阶段完成数据采集链路与预处理模块的开发与内部测试；第三阶段完成异常识别流程的构建与工况切换场景下的验证；第四阶段完成调度辅助功能开发、系统联调与试点验证。各阶段的起止时间、里程碑交付物与验收标准待企业确认，本稿不填写具体月份与周期长度。</w:t>
      </w:r>
    </w:p>
    <w:p>
      <w:r>
        <w:t>进度管理上建议设置阶段评审节点，每个阶段结束时对照交付物清单进行内部评审，未达标的阶段不进入下一阶段，避免问题累积到项目末期。同时建议预留一定的缓冲时间用于试点场景的适配调整。缓冲比例与评审频次待企业确认。</w:t>
      </w:r>
    </w:p>
    <w:p>
      <w:pPr>
        <w:pStyle w:val="Caption"/>
      </w:pPr>
      <w:r>
        <w:t>原文索引：P001、E001</w:t>
      </w:r>
    </w:p>
    <w:p>
      <w:pPr>
        <w:pStyle w:val="Heading1"/>
      </w:pPr>
      <w:r>
        <w:t>六、研发组织与人员分工</w:t>
      </w:r>
    </w:p>
    <w:p>
      <w:r>
        <w:t>研发组织部分需要说明项目负责人、核心技术人员、分工安排及外部协作情况。企业现有员工68人，具备一定的人员规模基础，但企业档案未提供项目团队履历、核心成员专业背景及在研项目情况，因此本稿不对团队构成作具体描述，项目负责人姓名、职务、专业背景及核心成员分工待企业确认。</w:t>
      </w:r>
    </w:p>
    <w:p>
      <w:r>
        <w:t>规划中的组织架构建议采用项目负责人制，下设数据采集、算法与识别、系统集成三个小组，分别对应技术路线的三个层次，并设置一名质量与文档负责人统筹测试记录与过程文档。该架构属于待确认的规划建议，是否与企业现有研发组织方式匹配需由企业判断。若企业已有成熟的研发组织体系，建议直接沿用并在申报书中说明，避免为申报临时搭建与实际不符的组织形式。</w:t>
      </w:r>
    </w:p>
    <w:p>
      <w:r>
        <w:t>外部协作方面，若项目涉及与高校、科研院所或其他企业的合作，需在申报书中说明合作内容、分工与知识产权归属，并提供合作协议作为佐证。企业档案未提及任何外部合作安排，本稿不预设合作方，是否存在合作及合作细节待企业确认。</w:t>
      </w:r>
    </w:p>
    <w:p>
      <w:pPr>
        <w:pStyle w:val="Caption"/>
      </w:pPr>
      <w:r>
        <w:t>原文索引：E001</w:t>
      </w:r>
    </w:p>
    <w:p>
      <w:pPr>
        <w:pStyle w:val="Heading1"/>
      </w:pPr>
      <w:r>
        <w:t>七、预算编制（待企业确认）</w:t>
      </w:r>
    </w:p>
    <w:p>
      <w:r>
        <w:t>本专项单个项目最高资助80万元，最终金额以主管部门评审为准，80万元是资助上限，不能作为预算编制的起点倒推支出，也不能在申报书中表述为已获资助金额。预算编制应以项目实际研发任务为依据，按设备费、材料费、测试化验加工费、燃料动力费、差旅会议费、劳务费、专家咨询费、间接费用等科目分项测算，各科目金额与测算依据待企业确认。</w:t>
      </w:r>
    </w:p>
    <w:p>
      <w:r>
        <w:t>企业档案提供了2025年度营业收入1800万元、研发费用86.4万元、研发费用占比4.8%的财务数据，可作为研发投入能力的佐证，但项目预算与年度研发费用是两个不同口径，不能直接套用。建议企业在编制预算时，先明确项目周期内的任务清单与资源需求，再逐项归集费用，并确保预算总额与企业自筹能力相匹配。自筹资金来源与到位安排待企业确认。</w:t>
      </w:r>
    </w:p>
    <w:p>
      <w:r>
        <w:t>预算表还需与项目实施方案中的进度安排对应，各阶段的支出节奏应与里程碑一致，避免出现前期集中支出或末期突击支出的情况。审计报告目前尚待财务部门收集，预算分项、测算依据及审计报告数据待企业确认后统一核对，确保申报书、预算表与审计报告三者口径一致。</w:t>
      </w:r>
    </w:p>
    <w:p>
      <w:pPr>
        <w:pStyle w:val="Caption"/>
      </w:pPr>
      <w:r>
        <w:t>原文索引：P001、E001</w:t>
      </w:r>
    </w:p>
    <w:p>
      <w:pPr>
        <w:pStyle w:val="Heading1"/>
      </w:pPr>
      <w:r>
        <w:t>八、成果形式与效益目标（待企业确认）</w:t>
      </w:r>
    </w:p>
    <w:p>
      <w:r>
        <w:t>成果形式方面，规划中的交付物包括数据采集与预处理模块、异常识别流程、调度辅助功能模块及相关技术文档，可能形成的知识产权包括发明专利、软件著作权等。具体交付物清单、知识产权申请计划及技术文档目录待企业确认，本稿不预设数量与名称。企业现有3项有效发明专利，可作为前期积累在申报书中说明，但不得将已有专利直接表述为本项目成果。</w:t>
      </w:r>
    </w:p>
    <w:p>
      <w:r>
        <w:t>效益目标方面，企业档案明确尚无可公开验证的产品性能提升数据，因此本稿不填写任何性能指标数值，也不填写新增销售收入、新增利润、带动就业等经济效益预测。相关指标需由企业基于内部测试数据与市场判断测算后填写，并说明测算依据与假设条件。所有效益预测须与附件材料保持一致，不得凭空编造。</w:t>
      </w:r>
    </w:p>
    <w:p>
      <w:r>
        <w:t>社会效益方面，可围绕柔性产线设备管理效率提升、减少非计划停线等方向进行定性描述，但定性描述同样需要企业确认其真实性与可支撑性。建议企业在申报前形成一份内部效益测算说明，明确各项指标的测算方法、数据来源与责任部门，作为申报书效益章节的底稿。</w:t>
      </w:r>
    </w:p>
    <w:p>
      <w:pPr>
        <w:pStyle w:val="Caption"/>
      </w:pPr>
      <w:r>
        <w:t>原文索引：E001、P002</w:t>
      </w:r>
    </w:p>
    <w:p>
      <w:pPr>
        <w:pStyle w:val="Heading1"/>
      </w:pPr>
      <w:r>
        <w:t>九、差距补足与附件收集</w:t>
      </w:r>
    </w:p>
    <w:p>
      <w:r>
        <w:t>按指南要求，本专项需提交的附件包括营业执照、2025年度审计报告、2025年度研发费用专项说明、有效发明专利证书及法律状态证明、项目实施方案与预算表、真实性承诺书。其中审计报告目前尚待财务部门收集，属于需要优先推进的事项；研发费用专项说明需与审计报告中的研发费用口径一致，建议由财务部门与研发部门共同核对后出具。</w:t>
      </w:r>
    </w:p>
    <w:p>
      <w:r>
        <w:t>专利材料方面，企业拥有3项有效发明专利，满足不少于2项的门槛，但需提供专利证书及法律状态证明，用于证明专利处于有效状态。专利名称、专利号、授权公告日及年费缴纳情况待企业确认，本稿不列举具体专利信息。若存在专利权属变更或共有情形，还需补充相应说明材料。</w:t>
      </w:r>
    </w:p>
    <w:p>
      <w:r>
        <w:t>除附件清单外，申报书正文中仍存在若干待补内容，包括项目团队履历、客户与场景说明、性能指标目标、预算分项与测算依据、效益目标及测算方法。建议企业按“材料清单加责任人加完成时间”的方式建立台账，逐项销号。考虑到网报截止日期为2026年11月15日17:00、纸质材料截止日期为2026年11月20日17:00，建议在网报前完成全部附件的电子版定稿，纸质材料按指南要求的份数与装订方式提前准备，具体份数与装订要求以主管部门通知为准。</w:t>
      </w:r>
    </w:p>
    <w:p>
      <w:pPr>
        <w:pStyle w:val="Caption"/>
      </w:pPr>
      <w:r>
        <w:t>原文索引：P001、P002、E001</w:t>
      </w:r>
    </w:p>
    <w:p>
      <w:pPr>
        <w:pStyle w:val="Heading1"/>
      </w:pPr>
      <w:r>
        <w:t>十、风险提示与真实性要求</w:t>
      </w:r>
    </w:p>
    <w:p>
      <w:r>
        <w:t>第一类风险是资格与口径风险。企业当前五项形式条件全部达标，但满足形式条件不等于立项获批，评审环节仍会对技术先进性、方案可行性、预算合理性和企业研发能力进行评价。申报书中引用的营业收入、研发费用、研发占比、专利数量等数据，必须与审计报告、研发费用专项说明和专利证书完全一致，任何不一致都可能引发形式审查质疑或后续核查问题。</w:t>
      </w:r>
    </w:p>
    <w:p>
      <w:r>
        <w:t>第二类风险是内容真实性风险。企业档案明确未提供具体专利名称、客户名单、性能指标、预算分项及项目团队履历，本稿对上述内容一律标注待企业确认，未作任何推测性填写。申报材料中不得出现未经核实的研发成果、财务预算和效益预测，不得将已有专利或既有产品能力表述为本项目新增成果，不得虚构客户与合作关系。真实性承诺书需由企业法定代表人或授权代表签署，签署前应完成全部数据的内部复核。</w:t>
      </w:r>
    </w:p>
    <w:p>
      <w:r>
        <w:t>第三类风险是时间与合规风险。两个截止日期分别为2026年11月15日17:00和2026年11月20日17:00，均为北京时间，逾期不予受理的风险由申报主体承担。建议企业指定专人负责申报系统账号与材料流转，留存网报提交回执与纸质材料递交凭证。本规划中涉及技术路线、实施进度、研发组织、预算编制、成果与效益目标的内容均为待确认的规划性建议，不构成对申报结果的承诺，最终以主管部门评审结论为准。</w:t>
      </w:r>
    </w:p>
    <w:p>
      <w:pPr>
        <w:pStyle w:val="Caption"/>
      </w:pPr>
      <w:r>
        <w:t>原文索引：P001、P002、E001</w:t>
      </w:r>
    </w:p>
    <w:p>
      <w:pPr>
        <w:pStyle w:val="Heading1"/>
      </w:pPr>
      <w:r>
        <w:t>原文证据索引</w:t>
      </w:r>
    </w:p>
    <w:p>
      <w:pPr>
        <w:pStyle w:val="Heading2"/>
      </w:pPr>
      <w:r>
        <w:t>P001</w:t>
      </w:r>
    </w:p>
    <w:p>
      <w:r>
        <w:t>【模拟数据】2026年度澄江省科技创新项目申报指南</w:t>
        <w:br/>
        <w:t>本指南为比赛演示虚构材料，不对应真实政府政策。发布日：2026年10月1日。</w:t>
        <w:br/>
        <w:t>一、智能制造研发专项</w:t>
        <w:br/>
        <w:t>支持智能制造关键技术研发。单个项目最高资助80万元，最终金额以主管部门评审为准。</w:t>
        <w:br/>
        <w:t>申报条件（须同时满足）：</w:t>
        <w:br/>
        <w:t>1. 企业注册地在澄江省。</w:t>
        <w:br/>
        <w:t>2. 企业成立年限不少于3年。</w:t>
        <w:br/>
        <w:t>3. 2025年度营业收入不少于1000万元。</w:t>
        <w:br/>
        <w:t>4. 2025年度研发费用占营业收入比例不低于4%。</w:t>
        <w:br/>
        <w:t>5. 拥有有效发明专利不少于2项。</w:t>
        <w:br/>
        <w:t>网报截止日期为2026年11月15日17:00；纸质材料截止日期为2026年11月20日17:00，均为北京时间。</w:t>
        <w:br/>
        <w:t>附件要求：营业执照、2025年度审计报告、2025年度研发费用专项说明、有效发明专利证书及法律状态证明、项目实施方案与预算表、真实性承诺书。</w:t>
        <w:br/>
        <w:t>实施方案应包括立项背景、技术路线、企业优势、实施进度、预算构成及风险控制。</w:t>
        <w:br/>
        <w:t>二、重点攻关储备专项</w:t>
        <w:br/>
        <w:t>支持有持续研发投入和自主知识产权积累的企业。单个项目最高资助150万元，最终金额以主管部门评审为准。</w:t>
        <w:br/>
        <w:t>申报条件（须同时满足）：</w:t>
        <w:br/>
        <w:t>1. 企业注册地在澄江省。</w:t>
        <w:br/>
        <w:t>2. 企业成立年限不少于3年。</w:t>
        <w:br/>
        <w:t>3. 2025年度营业收入不少于1000万元。</w:t>
        <w:br/>
        <w:t>4. 2025年度研发费用占营业收入比例不低于6%。</w:t>
        <w:br/>
        <w:t>5. 拥有有效发明专利不少于5项。</w:t>
        <w:br/>
        <w:t>网报截止日期为2026年12月10日17:00；纸质材料截止日期为2026年12月15日17:00，均为北京时间。</w:t>
      </w:r>
    </w:p>
    <w:p>
      <w:pPr>
        <w:pStyle w:val="Heading2"/>
      </w:pPr>
      <w:r>
        <w:t>P002</w:t>
      </w:r>
    </w:p>
    <w:p>
      <w:r>
        <w:t>2025年度研发费用占营业收入比例不低于6%。</w:t>
        <w:br/>
        <w:t>5. 拥有有效发明专利不少于5项。</w:t>
        <w:br/>
        <w:t>网报截止日期为2026年12月10日17:00；纸质材料截止日期为2026年12月15日17:00，均为北京时间。</w:t>
        <w:br/>
        <w:t>附件要求：营业执照、2025年度审计报告、2025年度研发费用专项说明、有效发明专利证书及法律状态证明、技术查新报告、项目实施方案与预算表、真实性承诺书。</w:t>
        <w:br/>
        <w:t>提醒：满足形式条件不等于立项获批。数据需与附件保持一致；未经核实的研发成果、财务预算和效益预测须人工补充，不得凭空编造。</w:t>
      </w:r>
    </w:p>
    <w:p>
      <w:pPr>
        <w:pStyle w:val="Heading2"/>
      </w:pPr>
      <w:r>
        <w:t>E001</w:t>
      </w:r>
    </w:p>
    <w:p>
      <w:r>
        <w:t>{</w:t>
        <w:br/>
        <w:t xml:space="preserve">  "模拟数据": true,</w:t>
        <w:br/>
        <w:t xml:space="preserve">  "name": "澄江智造科技有限公司（虚构）",</w:t>
        <w:br/>
        <w:t xml:space="preserve">  "location": "澄江省",</w:t>
        <w:br/>
        <w:t xml:space="preserve">  "company_age": 5,</w:t>
        <w:br/>
        <w:t xml:space="preserve">  "revenue_wan": 1800,</w:t>
        <w:br/>
        <w:t xml:space="preserve">  "rd_ratio": 4.8,</w:t>
        <w:br/>
        <w:t xml:space="preserve">  "patents": 3,</w:t>
        <w:br/>
        <w:t xml:space="preserve">  "staff": 68,</w:t>
        <w:br/>
        <w:t xml:space="preserve">  "assets_wan": 2600,</w:t>
        <w:br/>
        <w:t xml:space="preserve">  "period": "2025年度",</w:t>
        <w:br/>
        <w:t xml:space="preserve">  "project_name": "面向柔性产线的设备状态监测与协同优化研发",</w:t>
        <w:br/>
        <w:t xml:space="preserve">  "business": "工业设备数据采集、状态监测和柔性产线协同软件研发。拟完善数据采集链路、异常识别流程和调度辅助功能。现有3项有效发明专利，尚无可公开验证的产品性能提升数据。",</w:t>
        <w:br/>
        <w:t xml:space="preserve">  "finance_note": "2025年度营业收入1800万元，研发费用86.4万元，研发费用占比4.8%。审计报告待财务部门收集。",</w:t>
        <w:br/>
        <w:t xml:space="preserve">  "limitations": "未提供具体专利名称、客户名单、性能指标、预算分项及项目团队履历，不得编造。"</w:t>
        <w:br/>
        <w:t>}</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申报参谋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cs="Arial" w:eastAsia="LXGW WenKai"/>
      <w:sz w:val="22"/>
      <w:lang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LXGW WenKai"/>
      <w:b/>
      <w:bCs/>
      <w:color w:val="000000"/>
      <w:sz w:val="30"/>
      <w:szCs w:val="28"/>
      <w:lang w:eastAsia="zh-CN"/>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LXGW WenKai"/>
      <w:b/>
      <w:bCs/>
      <w:color w:val="000000"/>
      <w:sz w:val="24"/>
      <w:szCs w:val="26"/>
      <w:lang w:eastAsia="zh-C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s="Arial" w:eastAsia="LXGW WenKai"/>
      <w:color w:val="000000"/>
      <w:spacing w:val="5"/>
      <w:kern w:val="28"/>
      <w:sz w:val="44"/>
      <w:szCs w:val="52"/>
      <w:lang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LXGW WenKai"/>
      <w:b/>
      <w:bCs/>
      <w:color w:val="4F81BD" w:themeColor="accent1"/>
      <w:sz w:val="18"/>
      <w:szCs w:val="18"/>
      <w:lang w:eastAsia="zh-C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