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>
          <w:rFonts w:ascii="Arial" w:hAnsi="Arial" w:cs="Arial" w:eastAsia="LXGW WenKai"/>
          <w:color w:val="000000"/>
          <w:lang w:eastAsia="zh-CN"/>
        </w:rPr>
        <w:t>表桥跨系统表格处理项目申报书</w:t>
      </w:r>
    </w:p>
    <w:p>
      <w:pPr>
        <w:pStyle w:val="Subtitle"/>
        <w:widowControl/>
      </w:pPr>
      <w:r>
        <w:rPr>
          <w:rFonts w:ascii="Arial" w:hAnsi="Arial" w:cs="Arial" w:eastAsia="LXGW WenKai"/>
          <w:color w:val="000000"/>
          <w:lang w:eastAsia="zh-CN"/>
        </w:rPr>
        <w:t>跨系统表格数据自动化桥接与处理智能体</w:t>
      </w:r>
    </w:p>
    <w:p>
      <w:pPr>
        <w:pStyle w:val="Subtitle"/>
        <w:widowControl/>
      </w:pPr>
      <w:r>
        <w:rPr>
          <w:rFonts w:ascii="Arial" w:hAnsi="Arial" w:cs="Arial" w:eastAsia="LXGW WenKai"/>
          <w:color w:val="000000"/>
          <w:lang w:eastAsia="zh-CN"/>
        </w:rPr>
        <w:t>项目版本 1.0    2026 年 10 月 12 日</w:t>
      </w:r>
    </w:p>
    <w:p>
      <w:pPr>
        <w:widowControl/>
      </w:pPr>
      <w:r>
        <w:rPr>
          <w:rFonts w:ascii="Arial" w:hAnsi="Arial" w:cs="Arial" w:eastAsia="LXGW WenKai"/>
          <w:color w:val="000000"/>
          <w:lang w:eastAsia="zh-CN"/>
        </w:rPr>
        <w:t>表桥面向接口封闭的 ERP、OA 和 HR 系统，以现有导出表格和目标导入模板作为数据接口。业务人员描述处理要求，确认字段映射和业务规则后，系统按工号关联数据，完成年假抵扣与事假拆分或加班筛选，生成独立的导入工作簿、异常清单和逐行核算记录。</w:t>
      </w:r>
    </w:p>
    <w:p>
      <w:pPr>
        <w:pStyle w:val="Heading2"/>
        <w:widowControl/>
      </w:pPr>
      <w:r>
        <w:rPr>
          <w:rFonts w:ascii="Arial" w:hAnsi="Arial" w:cs="Arial" w:eastAsia="LXGW WenKai"/>
          <w:color w:val="000000"/>
          <w:lang w:eastAsia="zh-CN"/>
        </w:rPr>
        <w:t>业务问题与项目目标</w:t>
      </w:r>
    </w:p>
    <w:p>
      <w:pPr>
        <w:widowControl/>
      </w:pPr>
      <w:r>
        <w:rPr>
          <w:rFonts w:ascii="Arial" w:hAnsi="Arial" w:cs="Arial" w:eastAsia="LXGW WenKai"/>
          <w:color w:val="000000"/>
          <w:lang w:eastAsia="zh-CN"/>
        </w:rPr>
        <w:t>老旧系统之间的人员字段、日期格式和表头不一致，人工复制、关联和计算容易漏行、重复扣减或破坏工号前导零。本项目将这些操作变成可重复执行的处理流程，并让结果中的每条记录能够追溯到源文件和源行。项目重点是计算正确性与导入格式适配。</w:t>
      </w:r>
    </w:p>
    <w:p>
      <w:pPr>
        <w:pStyle w:val="Heading2"/>
        <w:widowControl/>
      </w:pPr>
      <w:r>
        <w:rPr>
          <w:rFonts w:ascii="Arial" w:hAnsi="Arial" w:cs="Arial" w:eastAsia="LXGW WenKai"/>
          <w:color w:val="000000"/>
          <w:lang w:eastAsia="zh-CN"/>
        </w:rPr>
        <w:t>当前交付的两个业务场景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608"/>
        <w:gridCol w:w="5216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/>
                <w:color w:val="000000"/>
                <w:sz w:val="19"/>
                <w:lang w:eastAsia="zh-CN"/>
              </w:rPr>
              <w:t>场景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/>
                <w:color w:val="000000"/>
                <w:sz w:val="19"/>
                <w:lang w:eastAsia="zh-CN"/>
              </w:rPr>
              <w:t>输入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/>
                <w:color w:val="000000"/>
                <w:sz w:val="19"/>
                <w:lang w:eastAsia="zh-CN"/>
              </w:rPr>
              <w:t>处理与输出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假期余额结算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OA 请假表、HR 期初年假余额表、HR 空白导入模板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已通过审批的指定假期按工号关联；优先扣年假，不足部分转事假；同一申请必要时拆为两条导入记录。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9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加班记录筛选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9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ERP 加班表、HR 空白导入模板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9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按完整部门名称、明确起止日期及审批状态筛选，导出工号、日期、小时数和来源单据。</w:t>
            </w:r>
          </w:p>
        </w:tc>
      </w:tr>
    </w:tbl>
    <w:p>
      <w:pPr>
        <w:widowControl/>
      </w:pPr>
    </w:p>
    <w:p>
      <w:pPr>
        <w:pStyle w:val="Heading2"/>
        <w:widowControl/>
      </w:pPr>
      <w:r>
        <w:rPr>
          <w:rFonts w:ascii="Arial" w:hAnsi="Arial" w:cs="Arial" w:eastAsia="LXGW WenKai"/>
          <w:color w:val="000000"/>
          <w:lang w:eastAsia="zh-CN"/>
        </w:rPr>
        <w:t>方案取舍</w:t>
      </w:r>
    </w:p>
    <w:p>
      <w:pPr>
        <w:widowControl/>
      </w:pPr>
      <w:r>
        <w:rPr>
          <w:rFonts w:ascii="Arial" w:hAnsi="Arial" w:cs="Arial" w:eastAsia="LXGW WenKai"/>
          <w:color w:val="000000"/>
          <w:lang w:eastAsia="zh-CN"/>
        </w:rPr>
        <w:t>自然语言仅用于生成处理计划与字段候选，业务数值由确定性规则引擎计算。模型不直接填入员工数据，不执行任意脚本。对未知字段、未知状态和跨期申请，系统要求明确配置或人工复核，避免把不确定情况转成看似完整的结果。</w:t>
      </w:r>
    </w:p>
    <w:p>
      <w:pPr>
        <w:widowControl/>
      </w:pPr>
      <w:r>
        <w:rPr>
          <w:rFonts w:ascii="Arial" w:hAnsi="Arial" w:cs="Arial" w:eastAsia="LXGW WenKai"/>
          <w:color w:val="000000"/>
          <w:lang w:eastAsia="zh-CN"/>
        </w:rPr>
        <w:t>现阶段交付为本机可运行原型，包含两个业务场景、模板映射、异常隔离和审计导出。演示使用模拟数据；企业正式规则和目标系统真实导入应在取得命题方数据后单独验收。</w:t>
      </w:r>
    </w:p>
    <w:p>
      <w:pPr>
        <w:pStyle w:val="Heading1"/>
        <w:pageBreakBefore/>
        <w:widowControl/>
      </w:pPr>
      <w:r>
        <w:rPr>
          <w:rFonts w:ascii="Arial" w:hAnsi="Arial" w:cs="Arial" w:eastAsia="LXGW WenKai"/>
          <w:color w:val="000000"/>
          <w:lang w:eastAsia="zh-CN"/>
        </w:rPr>
        <w:t>技术方案与计算规则</w:t>
      </w:r>
    </w:p>
    <w:p>
      <w:pPr>
        <w:pStyle w:val="Heading2"/>
        <w:widowControl/>
      </w:pPr>
      <w:r>
        <w:rPr>
          <w:rFonts w:ascii="Arial" w:hAnsi="Arial" w:cs="Arial" w:eastAsia="LXGW WenKai"/>
          <w:color w:val="000000"/>
          <w:lang w:eastAsia="zh-CN"/>
        </w:rPr>
        <w:t>处理架构</w:t>
      </w:r>
    </w:p>
    <w:p>
      <w:pPr>
        <w:widowControl/>
      </w:pPr>
      <w:r>
        <w:rPr>
          <w:rFonts w:ascii="Arial" w:hAnsi="Arial" w:cs="Arial" w:eastAsia="LXGW WenKai"/>
          <w:color w:val="000000"/>
          <w:lang w:eastAsia="zh-CN"/>
        </w:rPr>
        <w:t>处理链路为 文件解析 → 指令规划 → 字段和规则确认 → 十进制计算 → 目标模板校验 → 独立快照导出。浏览器界面与本机 Python HTTP 服务连接，openpyxl 读取和输出 XLSX，标准库读取 CSV、TSV，Decimal 执行精确数值运算。</w:t>
      </w:r>
    </w:p>
    <w:p>
      <w:pPr>
        <w:widowControl/>
      </w:pPr>
      <w:r>
        <w:rPr>
          <w:rFonts w:ascii="Arial" w:hAnsi="Arial" w:cs="Arial" w:eastAsia="LXGW WenKai"/>
          <w:color w:val="000000"/>
          <w:lang w:eastAsia="zh-CN"/>
        </w:rPr>
        <w:t>指令规划提供显式区分的本地有限句式解析与兼容 Chat Completions 的模型辅助模式。模型只接收处理指令及表头，不接收员工明细；返回 JSON 计划和字段候选。最终执行前仍需人工确认，服务端只接受年假结算与加班筛选的允许配置，拒绝额外代码或不支持的操作。</w:t>
      </w:r>
    </w:p>
    <w:p>
      <w:pPr>
        <w:pStyle w:val="Heading2"/>
        <w:widowControl/>
      </w:pPr>
      <w:r>
        <w:rPr>
          <w:rFonts w:ascii="Arial" w:hAnsi="Arial" w:cs="Arial" w:eastAsia="LXGW WenKai"/>
          <w:color w:val="000000"/>
          <w:lang w:eastAsia="zh-CN"/>
        </w:rPr>
        <w:t>年假抵扣规则</w:t>
      </w:r>
    </w:p>
    <w:p>
      <w:pPr>
        <w:widowControl/>
      </w:pPr>
      <w:r>
        <w:rPr>
          <w:rFonts w:ascii="Arial" w:hAnsi="Arial" w:cs="Arial" w:eastAsia="LXGW WenKai"/>
          <w:color w:val="000000"/>
          <w:lang w:eastAsia="zh-CN"/>
        </w:rPr>
        <w:t>余额表必须表示所选期间开始前且尚未扣减本批申请的期初余额。按工号、请假开始日期、单据编号排序，逐笔计算 年假抵扣 = min 本笔天数与可用余额，事假天数 = 本笔天数减年假抵扣，剩余余额 = 原余额减年假抵扣。每笔检查抵扣与事假之和等于原申请天数，并检查余额非负。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474"/>
        <w:gridCol w:w="1701"/>
        <w:gridCol w:w="1304"/>
        <w:gridCol w:w="1304"/>
        <w:gridCol w:w="1587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/>
                <w:color w:val="000000"/>
                <w:sz w:val="19"/>
                <w:lang w:eastAsia="zh-CN"/>
              </w:rPr>
              <w:t>工号与单据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/>
                <w:color w:val="000000"/>
                <w:sz w:val="19"/>
                <w:lang w:eastAsia="zh-CN"/>
              </w:rPr>
              <w:t>申请天数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/>
                <w:color w:val="000000"/>
                <w:sz w:val="19"/>
                <w:lang w:eastAsia="zh-CN"/>
              </w:rPr>
              <w:t>扣减前余额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/>
                <w:color w:val="000000"/>
                <w:sz w:val="19"/>
                <w:lang w:eastAsia="zh-CN"/>
              </w:rPr>
              <w:t>年假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/>
                <w:color w:val="000000"/>
                <w:sz w:val="19"/>
                <w:lang w:eastAsia="zh-CN"/>
              </w:rPr>
              <w:t>事假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/>
                <w:color w:val="000000"/>
                <w:sz w:val="19"/>
                <w:lang w:eastAsia="zh-CN"/>
              </w:rPr>
              <w:t>剩余余额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0001 L001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2.50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3.00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2.50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0.00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0.50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9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0001 L002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9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2.00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9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0.50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9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0.50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9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1.50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9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0.00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0002 L003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1.25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0.00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0.00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1.25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0.00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9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0003 L004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9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0.10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9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0.30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9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0.10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9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0.00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9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0.20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0003 L005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0.20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0.20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0.20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0.00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0.00</w:t>
            </w:r>
          </w:p>
        </w:tc>
      </w:tr>
    </w:tbl>
    <w:p>
      <w:pPr>
        <w:widowControl/>
      </w:pPr>
    </w:p>
    <w:p>
      <w:pPr>
        <w:widowControl/>
      </w:pPr>
      <w:r>
        <w:rPr>
          <w:rFonts w:ascii="Arial" w:hAnsi="Arial" w:cs="Arial" w:eastAsia="LXGW WenKai"/>
          <w:color w:val="000000"/>
          <w:lang w:eastAsia="zh-CN"/>
        </w:rPr>
        <w:t>以上为模拟案例的实际核算：有效申请合计 6.05 天，扣年假 3.30 天，转事假 2.75 天，共生成 6 条导入记录。随附独立 Excel 公式表用 MIN、减法和按 0.01 天口径的 ROUND 进行逐笔对照。</w:t>
      </w:r>
    </w:p>
    <w:p>
      <w:pPr>
        <w:pStyle w:val="Heading2"/>
        <w:widowControl/>
      </w:pPr>
      <w:r>
        <w:rPr>
          <w:rFonts w:ascii="Arial" w:hAnsi="Arial" w:cs="Arial" w:eastAsia="LXGW WenKai"/>
          <w:color w:val="000000"/>
          <w:lang w:eastAsia="zh-CN"/>
        </w:rPr>
        <w:t>字段与模板适配</w:t>
      </w:r>
    </w:p>
    <w:p>
      <w:pPr>
        <w:widowControl/>
      </w:pPr>
      <w:r>
        <w:rPr>
          <w:rFonts w:ascii="Arial" w:hAnsi="Arial" w:cs="Arial" w:eastAsia="LXGW WenKai"/>
          <w:color w:val="000000"/>
          <w:lang w:eastAsia="zh-CN"/>
        </w:rPr>
        <w:t>常见中英文表头按别名生成候选映射；出现多个候选时保留未确认状态。未知表头可以在界面手动指定，目标模板每列可绑定输出字段或固定文本。导出保持模板工作表名、表头原文、列顺序和列宽，工号写为文本，天数与小时数写为数值，日期写为日期单元格，不在导入表中增加日志工作表。</w:t>
      </w:r>
    </w:p>
    <w:p>
      <w:pPr>
        <w:pStyle w:val="Heading1"/>
        <w:pageBreakBefore/>
        <w:widowControl/>
      </w:pPr>
      <w:r>
        <w:rPr>
          <w:rFonts w:ascii="Arial" w:hAnsi="Arial" w:cs="Arial" w:eastAsia="LXGW WenKai"/>
          <w:color w:val="000000"/>
          <w:lang w:eastAsia="zh-CN"/>
        </w:rPr>
        <w:t>异常处理与验收证据</w:t>
      </w:r>
    </w:p>
    <w:p>
      <w:pPr>
        <w:pStyle w:val="Heading2"/>
        <w:widowControl/>
      </w:pPr>
      <w:r>
        <w:rPr>
          <w:rFonts w:ascii="Arial" w:hAnsi="Arial" w:cs="Arial" w:eastAsia="LXGW WenKai"/>
          <w:color w:val="000000"/>
          <w:lang w:eastAsia="zh-CN"/>
        </w:rPr>
        <w:t>异常隔离和行数对账</w:t>
      </w:r>
    </w:p>
    <w:p>
      <w:pPr>
        <w:widowControl/>
      </w:pPr>
      <w:r>
        <w:rPr>
          <w:rFonts w:ascii="Arial" w:hAnsi="Arial" w:cs="Arial" w:eastAsia="LXGW WenKai"/>
          <w:color w:val="000000"/>
          <w:lang w:eastAsia="zh-CN"/>
        </w:rPr>
        <w:t>每一条已读取数据行归入正常、异常、筛选排除、重复去重或空行之一，并检查五类计数之和等于输入总行数。缺工号、数字型工号、非法数值、未知审批状态、缺余额或姓名冲突均记录源文件、工作表和源行。完全相同的重复单据只保留一次；同一编号内容不同时隔离全部冲突记录。</w:t>
      </w:r>
    </w:p>
    <w:p>
      <w:pPr>
        <w:widowControl/>
      </w:pPr>
      <w:r>
        <w:rPr>
          <w:rFonts w:ascii="Arial" w:hAnsi="Arial" w:cs="Arial" w:eastAsia="LXGW WenKai"/>
          <w:color w:val="000000"/>
          <w:lang w:eastAsia="zh-CN"/>
        </w:rPr>
        <w:t>为防止前一笔异常造成后一笔错误扣减，同工号存在计算相关异常时，其全部候选记录一起隔离。不同工号的正常记录继续输出。全角数字、首尾空格、BOM 和零宽字符可规范化；带单位的数字、负数、科学计数法、过多小数位和不能确定年月日的日期不会被猜测转换。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649"/>
        <w:gridCol w:w="3231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/>
                <w:color w:val="000000"/>
                <w:sz w:val="19"/>
                <w:lang w:eastAsia="zh-CN"/>
              </w:rPr>
              <w:t>验收项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/>
                <w:color w:val="000000"/>
                <w:sz w:val="19"/>
                <w:lang w:eastAsia="zh-CN"/>
              </w:rPr>
              <w:t>已执行验证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/>
                <w:color w:val="000000"/>
                <w:sz w:val="19"/>
                <w:lang w:eastAsia="zh-CN"/>
              </w:rPr>
              <w:t>结果或边界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逻辑计算精度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年假不足拆分、连续扣减、零余额、0.10 与 0.20 精度；逐笔对照独立 Excel 公式缓存值。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模拟场景逐笔一致；不宣称所有企业规则均已验收。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9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格式兼容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9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重读实际导出 XLSX，检查工号文本、数值和日期类型，模板工作表名及表头。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9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模拟模板检查通过；未完成目标 HR 系统真实上传导入。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抗错鲁棒性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坏数值、缺工号、缺余额、重复冲突、公式行、跨期申请和未知状态注入。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异常隔离，正常员工继续输出，输入行数可对账。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9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泛化适配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9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将余额列改为未收录名称，并手动映射到余额字段后重算。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9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配置后结果一致；业务运算仍限于两类已实现规则。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非固定答案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将工号 0001 的余额从 3.00 改为 4.00 后重新计算。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年假合计变为 4.30，事假合计变为 1.75。</w:t>
            </w:r>
          </w:p>
        </w:tc>
      </w:tr>
    </w:tbl>
    <w:p>
      <w:pPr>
        <w:widowControl/>
      </w:pPr>
    </w:p>
    <w:p>
      <w:pPr>
        <w:pStyle w:val="Heading2"/>
        <w:widowControl/>
      </w:pPr>
      <w:r>
        <w:rPr>
          <w:rFonts w:ascii="Arial" w:hAnsi="Arial" w:cs="Arial" w:eastAsia="LXGW WenKai"/>
          <w:color w:val="000000"/>
          <w:lang w:eastAsia="zh-CN"/>
        </w:rPr>
        <w:t>自动化检查和结果存档</w:t>
      </w:r>
    </w:p>
    <w:p>
      <w:pPr>
        <w:widowControl/>
      </w:pPr>
      <w:r>
        <w:rPr>
          <w:rFonts w:ascii="Arial" w:hAnsi="Arial" w:cs="Arial" w:eastAsia="LXGW WenKai"/>
          <w:color w:val="000000"/>
          <w:lang w:eastAsia="zh-CN"/>
        </w:rPr>
        <w:t>当前已执行 35 项自动化检查，全部通过，覆盖规则、解析、模板、HTTP 导出、跨站请求拒绝和历史文件保持不变。测试数量表示已覆盖行为，不等于模型准确率或生产可用性。每轮保存输入文件 SHA 256、字段映射、业务计划、核算明细、异常、排除理由和导出文件哈希，重新运行生成新的结果目录。</w:t>
      </w:r>
    </w:p>
    <w:p>
      <w:pPr>
        <w:widowControl/>
      </w:pPr>
      <w:r>
        <w:rPr>
          <w:rFonts w:ascii="Arial" w:hAnsi="Arial" w:cs="Arial" w:eastAsia="LXGW WenKai"/>
          <w:color w:val="000000"/>
          <w:lang w:eastAsia="zh-CN"/>
        </w:rPr>
        <w:t>结果包包含 import.xlsx、exceptions.csv、ledger.csv 和 audit.json。导入表仅保留正常业务记录，异常清单用于核对修复，逐行核算用于金额与余额复核，完整审计保存输入与处理配置。历史导出不会随后续配置修改而重写。</w:t>
      </w:r>
    </w:p>
    <w:p>
      <w:pPr>
        <w:widowControl/>
      </w:pPr>
      <w:r>
        <w:rPr>
          <w:rFonts w:ascii="Arial" w:hAnsi="Arial" w:cs="Arial" w:eastAsia="LXGW WenKai"/>
          <w:color w:val="000000"/>
          <w:lang w:eastAsia="zh-CN"/>
        </w:rPr>
        <w:t>模型接口已通过受控响应测试；本次两次真实联调未取得成功计划，第二次返回 HTTP 401 鉴权错误。演示采用明确标示的本地解析和规则计算模式，不将其表述为真实大模型推理成功。有效模型凭据配置后仍需补做一次端到端模型规划验收。</w:t>
      </w:r>
    </w:p>
    <w:p>
      <w:pPr>
        <w:pStyle w:val="Heading1"/>
        <w:pageBreakBefore/>
        <w:widowControl/>
      </w:pPr>
      <w:r>
        <w:rPr>
          <w:rFonts w:ascii="Arial" w:hAnsi="Arial" w:cs="Arial" w:eastAsia="LXGW WenKai"/>
          <w:color w:val="000000"/>
          <w:lang w:eastAsia="zh-CN"/>
        </w:rPr>
        <w:t>交付内容与应用边界</w:t>
      </w:r>
    </w:p>
    <w:p>
      <w:pPr>
        <w:pStyle w:val="Heading2"/>
        <w:widowControl/>
      </w:pPr>
      <w:r>
        <w:rPr>
          <w:rFonts w:ascii="Arial" w:hAnsi="Arial" w:cs="Arial" w:eastAsia="LXGW WenKai"/>
          <w:color w:val="000000"/>
          <w:lang w:eastAsia="zh-CN"/>
        </w:rPr>
        <w:t>参赛交付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/>
                <w:color w:val="000000"/>
                <w:sz w:val="19"/>
                <w:lang w:eastAsia="zh-CN"/>
              </w:rPr>
              <w:t>交付物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/>
                <w:color w:val="000000"/>
                <w:sz w:val="19"/>
                <w:lang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项目申报书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业务问题、技术方案、计算规则、实际验证结果与应用边界。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9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演示视频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9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展示实际应用导入、指令规划、字段确认、规则计算、异常复核、导出和余额变化后重算。演示数据明确为模拟。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源码包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88" w:lineRule="auto"/>
            </w:pPr>
            <w:r>
              <w:rPr>
                <w:rFonts w:ascii="Arial" w:hAnsi="Arial" w:cs="Arial" w:eastAsia="LXGW WenKai"/>
                <w:b w:val="0"/>
                <w:color w:val="000000"/>
                <w:sz w:val="19"/>
                <w:lang w:eastAsia="zh-CN"/>
              </w:rPr>
              <w:t>前后端代码、依赖版本、启动脚本、模拟输入、空白模板、独立公式对照、自动化测试和运行说明；不含密钥或个人运行数据。</w:t>
            </w:r>
          </w:p>
        </w:tc>
      </w:tr>
    </w:tbl>
    <w:p>
      <w:pPr>
        <w:widowControl/>
      </w:pPr>
    </w:p>
    <w:p>
      <w:pPr>
        <w:pStyle w:val="Heading2"/>
        <w:widowControl/>
      </w:pPr>
      <w:r>
        <w:rPr>
          <w:rFonts w:ascii="Arial" w:hAnsi="Arial" w:cs="Arial" w:eastAsia="LXGW WenKai"/>
          <w:color w:val="000000"/>
          <w:lang w:eastAsia="zh-CN"/>
        </w:rPr>
        <w:t>推荐演示流程</w:t>
      </w:r>
    </w:p>
    <w:p>
      <w:pPr>
        <w:widowControl/>
      </w:pPr>
      <w:r>
        <w:rPr>
          <w:rFonts w:ascii="Arial" w:hAnsi="Arial" w:cs="Arial" w:eastAsia="LXGW WenKai"/>
          <w:color w:val="000000"/>
          <w:lang w:eastAsia="zh-CN"/>
        </w:rPr>
        <w:t>先载入请假和余额模拟表及导入模板，说明异构表头如何对应。解析年假优先抵扣指令，核查审批状态、期间、余额口径及工号关联，确认后运行。展示 6 条正常导入记录、逐笔抵扣和异常清单，再下载结果。将一笔期初余额从 3.00 改为 4.00，重新运行并对照新旧结果。最后切换加班场景，筛选研发部 2026 年 9 月已通过记录，得到 3.75 小时。</w:t>
      </w:r>
    </w:p>
    <w:p>
      <w:pPr>
        <w:pStyle w:val="Heading2"/>
        <w:widowControl/>
      </w:pPr>
      <w:r>
        <w:rPr>
          <w:rFonts w:ascii="Arial" w:hAnsi="Arial" w:cs="Arial" w:eastAsia="LXGW WenKai"/>
          <w:color w:val="000000"/>
          <w:lang w:eastAsia="zh-CN"/>
        </w:rPr>
        <w:t>部署和数据范围</w:t>
      </w:r>
    </w:p>
    <w:p>
      <w:pPr>
        <w:widowControl/>
      </w:pPr>
      <w:r>
        <w:rPr>
          <w:rFonts w:ascii="Arial" w:hAnsi="Arial" w:cs="Arial" w:eastAsia="LXGW WenKai"/>
          <w:color w:val="000000"/>
          <w:lang w:eastAsia="zh-CN"/>
        </w:rPr>
        <w:t>本版本用于本机单人操作，监听 127.0.0.1；需要 Python 3.11 及以上版本和现代浏览器。单个文件不超过 10 MB，一张工作表，最多 5000 条数据和 60 列，可指定前 20 行以内的表头行。目标必须为一张工作表的空白 XLSX 模板。启动与测试命令随源码提供。</w:t>
      </w:r>
    </w:p>
    <w:p>
      <w:pPr>
        <w:widowControl/>
      </w:pPr>
      <w:r>
        <w:rPr>
          <w:rFonts w:ascii="Arial" w:hAnsi="Arial" w:cs="Arial" w:eastAsia="LXGW WenKai"/>
          <w:color w:val="000000"/>
          <w:lang w:eastAsia="zh-CN"/>
        </w:rPr>
        <w:t>不支持 XLS 二进制格式、复杂合并表头、宏、外部链接、直接执行源表公式或任意新增业务计算。请假类型和审批状态由用户确认配置；跨期申请需要拆单，不按自然日推算工作日。当前不对接企业审批、余额回写、多用户权限或自动登录老旧系统。</w:t>
      </w:r>
    </w:p>
    <w:p>
      <w:pPr>
        <w:pStyle w:val="Heading2"/>
        <w:widowControl/>
      </w:pPr>
      <w:r>
        <w:rPr>
          <w:rFonts w:ascii="Arial" w:hAnsi="Arial" w:cs="Arial" w:eastAsia="LXGW WenKai"/>
          <w:color w:val="000000"/>
          <w:lang w:eastAsia="zh-CN"/>
        </w:rPr>
        <w:t>后续企业验收</w:t>
      </w:r>
    </w:p>
    <w:p>
      <w:pPr>
        <w:widowControl/>
      </w:pPr>
      <w:r>
        <w:rPr>
          <w:rFonts w:ascii="Arial" w:hAnsi="Arial" w:cs="Arial" w:eastAsia="LXGW WenKai"/>
          <w:color w:val="000000"/>
          <w:lang w:eastAsia="zh-CN"/>
        </w:rPr>
        <w:t>取得正式源表和目标导入模板后，确认工号编码、余额时点、假期类型、天数精度、审批状态与导入代码。锁定业务样例，将系统结果逐笔与人工公式核对，在目标系统测试环境完成一次实际导入并记录结果，再决定是否扩展新的规则或投入业务试用。项目不使用模拟成功结果替代企业真实验收。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cs="Arial" w:eastAsia="LXGW WenKai"/>
        <w:color w:val="000000"/>
        <w:sz w:val="18"/>
        <w:lang w:eastAsia="zh-CN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</w:pPr>
    <w:rPr>
      <w:rFonts w:ascii="Arial" w:hAnsi="Arial" w:eastAsia="LXGW WenKai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 w:line="312" w:lineRule="auto"/>
      <w:outlineLvl w:val="0"/>
    </w:pPr>
    <w:rPr>
      <w:rFonts w:asciiTheme="majorHAnsi" w:eastAsiaTheme="majorEastAsia" w:hAnsiTheme="majorHAnsi" w:cstheme="majorBidi" w:ascii="Arial" w:hAnsi="Arial" w:eastAsia="LXGW WenKai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312" w:lineRule="auto"/>
      <w:outlineLvl w:val="1"/>
    </w:pPr>
    <w:rPr>
      <w:rFonts w:asciiTheme="majorHAnsi" w:eastAsiaTheme="majorEastAsia" w:hAnsiTheme="majorHAnsi" w:cstheme="majorBidi" w:ascii="Arial" w:hAnsi="Arial" w:eastAsia="LXGW WenKa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312" w:lineRule="auto"/>
      <w:contextualSpacing/>
    </w:pPr>
    <w:rPr>
      <w:rFonts w:asciiTheme="majorHAnsi" w:eastAsiaTheme="majorEastAsia" w:hAnsiTheme="majorHAnsi" w:cstheme="majorBidi" w:ascii="Arial" w:hAnsi="Arial" w:eastAsia="LXGW WenKai"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line="312" w:lineRule="auto"/>
    </w:pPr>
    <w:rPr>
      <w:rFonts w:asciiTheme="majorHAnsi" w:eastAsiaTheme="majorEastAsia" w:hAnsiTheme="majorHAnsi" w:cstheme="majorBidi" w:ascii="Arial" w:hAnsi="Arial" w:eastAsia="LXGW WenKa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表桥跨系统表格处理项目申报书</dc:title>
  <dc:subject>跨系统表格数据自动化桥接与处理智能体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