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F3C78" w14:textId="77777777" w:rsidR="00C62A83" w:rsidRPr="00C62A83" w:rsidRDefault="00C62A83" w:rsidP="00C62A83">
      <w:pPr>
        <w:pStyle w:val="Date"/>
      </w:pPr>
      <w:r>
        <w:t>04/22/2019 Monday</w:t>
      </w:r>
    </w:p>
    <w:p w14:paraId="51AF7BE5" w14:textId="77777777" w:rsidR="00BD76CD" w:rsidRDefault="00C62A83">
      <w:pPr>
        <w:pStyle w:val="Title"/>
      </w:pPr>
      <w:r>
        <w:t>EI index modeliing</w:t>
      </w:r>
    </w:p>
    <w:p w14:paraId="5430D1CA" w14:textId="77777777" w:rsidR="00BD76CD" w:rsidRDefault="00C62A83">
      <w:pPr>
        <w:pStyle w:val="Heading1"/>
      </w:pPr>
      <w:r>
        <w:t xml:space="preserve">Rasch model </w:t>
      </w:r>
    </w:p>
    <w:p w14:paraId="6FED04CD" w14:textId="77777777" w:rsidR="00BD76CD" w:rsidRDefault="00C62A83">
      <w:r w:rsidRPr="00C62A83">
        <w:t xml:space="preserve">Rasch noted that the probability of an individual answering a question correctly depended upon both </w:t>
      </w:r>
      <w:r w:rsidRPr="00C62A83">
        <w:rPr>
          <w:b/>
        </w:rPr>
        <w:t>the “ability”</w:t>
      </w:r>
      <w:r w:rsidRPr="00C62A83">
        <w:t xml:space="preserve"> of the individual and </w:t>
      </w:r>
      <w:r w:rsidRPr="00C62A83">
        <w:rPr>
          <w:b/>
        </w:rPr>
        <w:t>the “difficulty”</w:t>
      </w:r>
      <w:r w:rsidRPr="00C62A83">
        <w:t xml:space="preserve"> of the question.</w:t>
      </w:r>
    </w:p>
    <w:p w14:paraId="72DE252E" w14:textId="77777777" w:rsidR="00174EAA" w:rsidRDefault="00C62A83" w:rsidP="00FB525C">
      <w:r>
        <w:t xml:space="preserve">Unidimensional </w:t>
      </w:r>
      <w:r>
        <w:sym w:font="Wingdings" w:char="F0E0"/>
      </w:r>
      <w:r>
        <w:t xml:space="preserve"> All the questions are trying to measure the same underlying traits, energy insecurity, and this is our index final model result. </w:t>
      </w:r>
    </w:p>
    <w:p w14:paraId="4F454787" w14:textId="77777777" w:rsidR="00C62A83" w:rsidRDefault="00C62A83" w:rsidP="00174EAA">
      <w:pPr>
        <w:ind w:left="0"/>
      </w:pPr>
    </w:p>
    <w:p w14:paraId="2FD5DC96" w14:textId="77777777" w:rsidR="00BD76CD" w:rsidRDefault="00FB525C">
      <w:pPr>
        <w:pStyle w:val="Heading2"/>
      </w:pPr>
      <w:r>
        <w:t xml:space="preserve">Data Preparation </w:t>
      </w:r>
    </w:p>
    <w:p w14:paraId="3A7C3877" w14:textId="77777777" w:rsidR="00BD76CD" w:rsidRDefault="00174EAA" w:rsidP="00174EAA">
      <w:pPr>
        <w:pStyle w:val="Heading3"/>
      </w:pPr>
      <w:r>
        <w:t xml:space="preserve">Overview of the </w:t>
      </w:r>
      <w:proofErr w:type="spellStart"/>
      <w:r>
        <w:t>test_data</w:t>
      </w:r>
      <w:proofErr w:type="spellEnd"/>
      <w:r>
        <w:t xml:space="preserve">. (First 13 variables, there are </w:t>
      </w:r>
      <w:r w:rsidRPr="00174EAA">
        <w:rPr>
          <w:b/>
        </w:rPr>
        <w:t xml:space="preserve">55 </w:t>
      </w:r>
      <w:r>
        <w:t>variables in total)</w:t>
      </w:r>
    </w:p>
    <w:p w14:paraId="4A8EFC21" w14:textId="77777777" w:rsidR="00174EAA" w:rsidRDefault="00174EAA" w:rsidP="00174EAA">
      <w:pPr>
        <w:pStyle w:val="Heading3"/>
        <w:numPr>
          <w:ilvl w:val="0"/>
          <w:numId w:val="2"/>
        </w:numPr>
      </w:pPr>
      <w:r>
        <w:t xml:space="preserve">We constructed and recategorized the winter bill summer bill variable, and classified these two as low and high dichotomous levels. </w:t>
      </w:r>
    </w:p>
    <w:p w14:paraId="6A6B6217" w14:textId="77777777" w:rsidR="00174EAA" w:rsidRDefault="00174EAA" w:rsidP="00174E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wbill</w:t>
      </w:r>
      <w:proofErr w:type="spellEnd"/>
      <w:r>
        <w:rPr>
          <w:rStyle w:val="HTMLCode"/>
          <w:rFonts w:eastAsiaTheme="majorEastAsia"/>
          <w:color w:val="333333"/>
        </w:rPr>
        <w:t xml:space="preserve">     53 1795 0.71 0.45      1    0.76 0.00   0   1     1 -0.92</w:t>
      </w:r>
    </w:p>
    <w:p w14:paraId="349EFFF9" w14:textId="77777777" w:rsidR="00174EAA" w:rsidRDefault="00174EAA" w:rsidP="00174E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r>
        <w:rPr>
          <w:rStyle w:val="HTMLCode"/>
          <w:rFonts w:eastAsiaTheme="majorEastAsia"/>
          <w:color w:val="333333"/>
        </w:rPr>
        <w:t>sbill</w:t>
      </w:r>
      <w:proofErr w:type="spellEnd"/>
      <w:r>
        <w:rPr>
          <w:rStyle w:val="HTMLCode"/>
          <w:rFonts w:eastAsiaTheme="majorEastAsia"/>
          <w:color w:val="333333"/>
        </w:rPr>
        <w:t xml:space="preserve">     54 1795 0.69 0.46      1    0.73 0.00   0   1     1 -0.80</w:t>
      </w:r>
    </w:p>
    <w:p w14:paraId="52CEB159" w14:textId="77777777" w:rsidR="00174EAA" w:rsidRDefault="00174EAA" w:rsidP="00174EAA">
      <w:pPr>
        <w:pStyle w:val="Heading3"/>
        <w:numPr>
          <w:ilvl w:val="0"/>
          <w:numId w:val="2"/>
        </w:numPr>
      </w:pPr>
      <w:r>
        <w:t>All the categorical variables are in 0-1 scale.</w:t>
      </w:r>
    </w:p>
    <w:p w14:paraId="5E767E85" w14:textId="77777777" w:rsidR="00174EAA" w:rsidRDefault="00174EAA" w:rsidP="00174EAA">
      <w:pPr>
        <w:pStyle w:val="Heading3"/>
        <w:numPr>
          <w:ilvl w:val="0"/>
          <w:numId w:val="2"/>
        </w:numPr>
      </w:pPr>
      <w:r>
        <w:t>The household type indicators were included: child, elderly and mix, these three indicators stand for 4 types of households (USDA food insecurity, 1999)</w:t>
      </w:r>
    </w:p>
    <w:p w14:paraId="02E09055" w14:textId="77777777" w:rsidR="00174EAA" w:rsidRDefault="00174EAA" w:rsidP="00174EAA">
      <w:pPr>
        <w:pStyle w:val="Heading3"/>
        <w:numPr>
          <w:ilvl w:val="0"/>
          <w:numId w:val="2"/>
        </w:numPr>
      </w:pPr>
      <w:r>
        <w:t xml:space="preserve">Assumptions: </w:t>
      </w:r>
    </w:p>
    <w:p w14:paraId="7C0DC273" w14:textId="77777777" w:rsidR="00FB525C" w:rsidRDefault="00FB525C" w:rsidP="00FB525C">
      <w:pPr>
        <w:pStyle w:val="Heading3"/>
        <w:numPr>
          <w:ilvl w:val="1"/>
          <w:numId w:val="2"/>
        </w:numPr>
      </w:pPr>
      <w:r>
        <w:t xml:space="preserve">Excluded all the missing </w:t>
      </w:r>
      <w:proofErr w:type="gramStart"/>
      <w:r>
        <w:t>values,  there</w:t>
      </w:r>
      <w:proofErr w:type="gramEnd"/>
      <w:r>
        <w:t xml:space="preserve"> remain 1795 obs. </w:t>
      </w:r>
    </w:p>
    <w:p w14:paraId="36E9B11D" w14:textId="77777777" w:rsidR="00174EAA" w:rsidRPr="00174EAA" w:rsidRDefault="00174EAA" w:rsidP="0017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/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</w:pPr>
      <w:r w:rsidRPr="00174EAA"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  <w:t xml:space="preserve">   </w:t>
      </w:r>
      <w:proofErr w:type="spellStart"/>
      <w:r w:rsidRPr="00174EAA"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  <w:t>vars</w:t>
      </w:r>
      <w:proofErr w:type="spellEnd"/>
      <w:r w:rsidRPr="00174EAA"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  <w:t xml:space="preserve">    n mean   </w:t>
      </w:r>
      <w:proofErr w:type="spellStart"/>
      <w:r w:rsidRPr="00174EAA"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  <w:t>sd</w:t>
      </w:r>
      <w:proofErr w:type="spellEnd"/>
      <w:r w:rsidRPr="00174EAA"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  <w:t xml:space="preserve"> median </w:t>
      </w:r>
      <w:proofErr w:type="gramStart"/>
      <w:r w:rsidRPr="00174EAA"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  <w:t>trimmed  mad</w:t>
      </w:r>
      <w:proofErr w:type="gramEnd"/>
      <w:r w:rsidRPr="00174EAA"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  <w:t xml:space="preserve"> min max range  skew</w:t>
      </w:r>
    </w:p>
    <w:p w14:paraId="3E3C6F57" w14:textId="77777777" w:rsidR="00174EAA" w:rsidRPr="00174EAA" w:rsidRDefault="00174EAA" w:rsidP="0017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/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</w:pPr>
      <w:r w:rsidRPr="00174EAA"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  <w:t xml:space="preserve">## HHI        1 1795 1.91 0.83      2    1.89 1.48   1   3     </w:t>
      </w:r>
      <w:proofErr w:type="gramStart"/>
      <w:r w:rsidRPr="00174EAA"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  <w:t>2  0.17</w:t>
      </w:r>
      <w:proofErr w:type="gramEnd"/>
    </w:p>
    <w:p w14:paraId="2F883339" w14:textId="77777777" w:rsidR="00174EAA" w:rsidRPr="00174EAA" w:rsidRDefault="00174EAA" w:rsidP="0017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/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</w:pPr>
      <w:r w:rsidRPr="00174EAA"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  <w:t xml:space="preserve">## HH23r1     2 1795 0.50 0.93      0    0.29 0.00   0   7     </w:t>
      </w:r>
      <w:proofErr w:type="gramStart"/>
      <w:r w:rsidRPr="00174EAA"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  <w:t>7  2.36</w:t>
      </w:r>
      <w:proofErr w:type="gramEnd"/>
    </w:p>
    <w:p w14:paraId="1721EAA6" w14:textId="77777777" w:rsidR="00174EAA" w:rsidRPr="00174EAA" w:rsidRDefault="00174EAA" w:rsidP="0017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/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</w:pPr>
      <w:r w:rsidRPr="00174EAA"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  <w:t xml:space="preserve">## HH23r3     3 1795 0.52 0.78      0    0.39 0.00   0   5     </w:t>
      </w:r>
      <w:proofErr w:type="gramStart"/>
      <w:r w:rsidRPr="00174EAA"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  <w:t>5  1.31</w:t>
      </w:r>
      <w:proofErr w:type="gramEnd"/>
    </w:p>
    <w:p w14:paraId="0B33AD16" w14:textId="77777777" w:rsidR="00174EAA" w:rsidRPr="00174EAA" w:rsidRDefault="00174EAA" w:rsidP="0017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/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</w:pPr>
      <w:r w:rsidRPr="00174EAA"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  <w:t>## ESC1ar2    4 1795 0.58 0.49      1    0.60 0.00   0   1     1 -0.32</w:t>
      </w:r>
    </w:p>
    <w:p w14:paraId="5883E31B" w14:textId="77777777" w:rsidR="00174EAA" w:rsidRPr="00174EAA" w:rsidRDefault="00174EAA" w:rsidP="0017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/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</w:pPr>
      <w:r w:rsidRPr="00174EAA"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  <w:t xml:space="preserve">## ESC1ar3    5 1795 0.04 0.19      0    0.00 0.00   0   1     </w:t>
      </w:r>
      <w:proofErr w:type="gramStart"/>
      <w:r w:rsidRPr="00174EAA"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  <w:t>1  4.92</w:t>
      </w:r>
      <w:proofErr w:type="gramEnd"/>
    </w:p>
    <w:p w14:paraId="56AC72E6" w14:textId="77777777" w:rsidR="00174EAA" w:rsidRPr="00174EAA" w:rsidRDefault="00174EAA" w:rsidP="0017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/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</w:pPr>
      <w:r w:rsidRPr="00174EAA"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  <w:t xml:space="preserve">## ESC1ar4    6 1795 0.03 0.16      0    0.00 0.00   0   1     </w:t>
      </w:r>
      <w:proofErr w:type="gramStart"/>
      <w:r w:rsidRPr="00174EAA"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  <w:t>1  5.93</w:t>
      </w:r>
      <w:proofErr w:type="gramEnd"/>
    </w:p>
    <w:p w14:paraId="30C0D791" w14:textId="77777777" w:rsidR="00174EAA" w:rsidRPr="00174EAA" w:rsidRDefault="00174EAA" w:rsidP="0017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/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</w:pPr>
      <w:r w:rsidRPr="00174EAA"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  <w:t>## ESC2       7 1795 0.63 0.48      1    0.66 0.00   0   1     1 -0.52</w:t>
      </w:r>
    </w:p>
    <w:p w14:paraId="711AB2BC" w14:textId="77777777" w:rsidR="00174EAA" w:rsidRPr="00174EAA" w:rsidRDefault="00174EAA" w:rsidP="0017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/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</w:pPr>
      <w:r w:rsidRPr="00174EAA"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  <w:t xml:space="preserve">## EB2a       8 1795 0.24 0.43      0    0.17 0.00   0   1     </w:t>
      </w:r>
      <w:proofErr w:type="gramStart"/>
      <w:r w:rsidRPr="00174EAA"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  <w:t>1  1.23</w:t>
      </w:r>
      <w:proofErr w:type="gramEnd"/>
    </w:p>
    <w:p w14:paraId="2847C711" w14:textId="77777777" w:rsidR="00174EAA" w:rsidRPr="00174EAA" w:rsidRDefault="00174EAA" w:rsidP="0017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/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</w:pPr>
      <w:r w:rsidRPr="00174EAA"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  <w:t>## EB4        9 1795 0.85 0.36      1    0.94 0.00   0   1     1 -1.96</w:t>
      </w:r>
    </w:p>
    <w:p w14:paraId="64AC98E3" w14:textId="77777777" w:rsidR="00174EAA" w:rsidRPr="00FB525C" w:rsidRDefault="00174EAA" w:rsidP="00FB52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/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</w:pPr>
      <w:r w:rsidRPr="00174EAA">
        <w:rPr>
          <w:rFonts w:ascii="Courier New" w:eastAsia="Times New Roman" w:hAnsi="Courier New" w:cs="Courier New"/>
          <w:color w:val="333333"/>
          <w:sz w:val="20"/>
          <w:szCs w:val="20"/>
          <w:lang w:eastAsia="zh-CN"/>
        </w:rPr>
        <w:t>## EB5r1     10 1795 0.91 0.29      1    1.00 0.00   0   1     1 -2.87</w:t>
      </w:r>
    </w:p>
    <w:p w14:paraId="4C7221C4" w14:textId="77777777" w:rsidR="00FB525C" w:rsidRDefault="00FB525C" w:rsidP="00FB525C">
      <w:pPr>
        <w:pStyle w:val="Heading2"/>
      </w:pPr>
      <w:r>
        <w:lastRenderedPageBreak/>
        <w:t xml:space="preserve">Model fitting </w:t>
      </w:r>
    </w:p>
    <w:p w14:paraId="51864C38" w14:textId="77777777" w:rsidR="00FB525C" w:rsidRDefault="00FB525C" w:rsidP="00FB525C">
      <w:pPr>
        <w:pStyle w:val="Heading3"/>
        <w:numPr>
          <w:ilvl w:val="0"/>
          <w:numId w:val="2"/>
        </w:numPr>
      </w:pPr>
      <w:bookmarkStart w:id="0" w:name="bbib17"/>
      <w:r w:rsidRPr="00FB525C">
        <w:t>Rasch (1960)</w:t>
      </w:r>
      <w:bookmarkEnd w:id="0"/>
      <w:r w:rsidRPr="00FB525C">
        <w:t xml:space="preserve"> created a model based on probability theory to measure latent traits of individuals. </w:t>
      </w:r>
    </w:p>
    <w:p w14:paraId="2826EF64" w14:textId="77777777" w:rsidR="00FB525C" w:rsidRDefault="00FB525C" w:rsidP="00FB525C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Theme="majorEastAsia" w:hAnsiTheme="majorHAnsi" w:cstheme="majorBidi"/>
          <w:szCs w:val="24"/>
        </w:rPr>
      </w:pPr>
      <w:r w:rsidRPr="00FB525C">
        <w:rPr>
          <w:rFonts w:asciiTheme="majorHAnsi" w:eastAsiaTheme="majorEastAsia" w:hAnsiTheme="majorHAnsi" w:cstheme="majorBidi"/>
          <w:szCs w:val="24"/>
        </w:rPr>
        <w:t xml:space="preserve">uses a </w:t>
      </w:r>
      <w:r w:rsidRPr="00FB525C">
        <w:rPr>
          <w:rFonts w:asciiTheme="majorHAnsi" w:eastAsiaTheme="majorEastAsia" w:hAnsiTheme="majorHAnsi" w:cstheme="majorBidi"/>
          <w:b/>
          <w:szCs w:val="24"/>
        </w:rPr>
        <w:t>logarithmic transformation</w:t>
      </w:r>
      <w:r w:rsidRPr="00FB525C">
        <w:rPr>
          <w:rFonts w:asciiTheme="majorHAnsi" w:eastAsiaTheme="majorEastAsia" w:hAnsiTheme="majorHAnsi" w:cstheme="majorBidi"/>
          <w:szCs w:val="24"/>
        </w:rPr>
        <w:t xml:space="preserve"> of the data (both individual and item) to convert ordinal data into interval data. </w:t>
      </w:r>
    </w:p>
    <w:p w14:paraId="78BA8A25" w14:textId="77777777" w:rsidR="00FB525C" w:rsidRDefault="00FB525C" w:rsidP="00FB525C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Theme="majorEastAsia" w:hAnsiTheme="majorHAnsi" w:cstheme="majorBidi"/>
          <w:szCs w:val="24"/>
        </w:rPr>
      </w:pPr>
      <w:r w:rsidRPr="00FB525C">
        <w:rPr>
          <w:rFonts w:asciiTheme="majorHAnsi" w:eastAsiaTheme="majorEastAsia" w:hAnsiTheme="majorHAnsi" w:cstheme="majorBidi"/>
          <w:szCs w:val="24"/>
        </w:rPr>
        <w:t>Item difficulty and ability levels are all described in terms of logits around this mean. </w:t>
      </w:r>
    </w:p>
    <w:p w14:paraId="27529DD6" w14:textId="77777777" w:rsidR="00604ADC" w:rsidRPr="00FB525C" w:rsidRDefault="00604ADC" w:rsidP="00FB525C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Theme="majorEastAsia" w:hAnsiTheme="majorHAnsi" w:cstheme="majorBidi"/>
          <w:szCs w:val="24"/>
        </w:rPr>
      </w:pPr>
      <w:r>
        <w:rPr>
          <w:rFonts w:asciiTheme="majorHAnsi" w:eastAsiaTheme="majorEastAsia" w:hAnsiTheme="majorHAnsi" w:cstheme="majorBidi"/>
          <w:szCs w:val="24"/>
        </w:rPr>
        <w:t xml:space="preserve"> Estimation method: joint maximum likelihood</w:t>
      </w:r>
    </w:p>
    <w:p w14:paraId="277DDFE7" w14:textId="77777777" w:rsidR="00FB525C" w:rsidRDefault="00FB525C" w:rsidP="00FB525C">
      <w:pPr>
        <w:pStyle w:val="Heading3"/>
        <w:numPr>
          <w:ilvl w:val="0"/>
          <w:numId w:val="2"/>
        </w:numPr>
      </w:pPr>
      <w:r w:rsidRPr="00FB525C">
        <w:t xml:space="preserve"> </w:t>
      </w:r>
      <w:r w:rsidR="00224719">
        <w:t xml:space="preserve">Ability </w:t>
      </w:r>
    </w:p>
    <w:p w14:paraId="23036D7F" w14:textId="05750E61" w:rsidR="00FB525C" w:rsidRDefault="00FB525C" w:rsidP="00224719">
      <w:pPr>
        <w:pStyle w:val="Heading3"/>
        <w:numPr>
          <w:ilvl w:val="0"/>
          <w:numId w:val="0"/>
        </w:numPr>
        <w:ind w:left="1080"/>
      </w:pPr>
      <w:r>
        <w:t xml:space="preserve"> Difficulty: </w:t>
      </w:r>
    </w:p>
    <w:p w14:paraId="2FA77B48" w14:textId="4731443C" w:rsidR="00CB51D4" w:rsidRDefault="00CB51D4" w:rsidP="00224719">
      <w:pPr>
        <w:pStyle w:val="Heading3"/>
        <w:numPr>
          <w:ilvl w:val="0"/>
          <w:numId w:val="0"/>
        </w:numPr>
        <w:ind w:left="1080"/>
      </w:pPr>
    </w:p>
    <w:p w14:paraId="1A218F07" w14:textId="0EE6E344" w:rsidR="00CB51D4" w:rsidRPr="00CB51D4" w:rsidRDefault="00CB51D4" w:rsidP="00CB51D4">
      <w:pPr>
        <w:pStyle w:val="Heading3"/>
        <w:numPr>
          <w:ilvl w:val="0"/>
          <w:numId w:val="0"/>
        </w:numPr>
        <w:rPr>
          <w:sz w:val="32"/>
        </w:rPr>
      </w:pPr>
      <w:r w:rsidRPr="00CB51D4">
        <w:rPr>
          <w:sz w:val="32"/>
        </w:rPr>
        <w:t xml:space="preserve"># Model reduction for a more precise questionnaire </w:t>
      </w:r>
    </w:p>
    <w:p w14:paraId="64E2C6B4" w14:textId="7DBE62A0" w:rsidR="00CB51D4" w:rsidRDefault="00CB51D4" w:rsidP="00CB51D4">
      <w:pPr>
        <w:spacing w:after="0" w:line="240" w:lineRule="auto"/>
        <w:ind w:left="0"/>
        <w:jc w:val="both"/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</w:pPr>
      <w:r w:rsidRPr="00CB51D4"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  <w:t xml:space="preserve">Although </w:t>
      </w:r>
      <w:r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  <w:t>51-item</w:t>
      </w:r>
      <w:r w:rsidRPr="00CB51D4"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  <w:t xml:space="preserve"> instruments may offer satisfactory results, their length often limits the extent to which they are actually applied in</w:t>
      </w:r>
      <w:r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  <w:t xml:space="preserve"> survey</w:t>
      </w:r>
      <w:r w:rsidRPr="00CB51D4"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  <w:t xml:space="preserve"> practice. </w:t>
      </w:r>
      <w:r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  <w:t xml:space="preserve">Thus, efforts to shorten the existing questions should be paid, while most of the tools and statistical procedures are included in the scope of Classical Test Theory, their limitations are salient: (1) Lack of additivity of rating scale data; (2) Unordered continuity of items that are unidimensional-expressed.  </w:t>
      </w:r>
    </w:p>
    <w:p w14:paraId="0BDA80D9" w14:textId="1B54B66A" w:rsidR="00CB51D4" w:rsidRDefault="00CB51D4" w:rsidP="00CB51D4">
      <w:pPr>
        <w:spacing w:after="0" w:line="240" w:lineRule="auto"/>
        <w:ind w:left="0"/>
        <w:jc w:val="both"/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</w:pPr>
    </w:p>
    <w:p w14:paraId="1BE6C78B" w14:textId="5F9BA26D" w:rsidR="00CB51D4" w:rsidRDefault="00CB51D4" w:rsidP="00CB51D4">
      <w:pPr>
        <w:spacing w:after="0" w:line="240" w:lineRule="auto"/>
        <w:ind w:left="0"/>
        <w:jc w:val="both"/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</w:pPr>
      <w:r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  <w:t xml:space="preserve">The advantages for adopting a Rasch model lie in that the it incorporates detailed consideration of hierarchical structure in the datasets. </w:t>
      </w:r>
    </w:p>
    <w:p w14:paraId="70B31486" w14:textId="21274C39" w:rsidR="001C1AC0" w:rsidRDefault="001C1AC0" w:rsidP="00CB51D4">
      <w:pPr>
        <w:spacing w:after="0" w:line="240" w:lineRule="auto"/>
        <w:ind w:left="0"/>
        <w:jc w:val="both"/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</w:pPr>
    </w:p>
    <w:p w14:paraId="4EFE6E72" w14:textId="00666B52" w:rsidR="00360ED9" w:rsidRDefault="001C1AC0" w:rsidP="00CB51D4">
      <w:pPr>
        <w:spacing w:after="0" w:line="240" w:lineRule="auto"/>
        <w:ind w:left="0"/>
        <w:jc w:val="both"/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</w:pPr>
      <w:r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  <w:t xml:space="preserve">In order to show results empirically, Energy Insecurity Scale </w:t>
      </w:r>
      <w:r w:rsidRPr="001C1AC0"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  <w:t xml:space="preserve">was independently performed with CTT and Rasch Analysis. </w:t>
      </w:r>
    </w:p>
    <w:p w14:paraId="2A88AEB5" w14:textId="77777777" w:rsidR="00360ED9" w:rsidRDefault="00360ED9" w:rsidP="00CB51D4">
      <w:pPr>
        <w:spacing w:after="0" w:line="240" w:lineRule="auto"/>
        <w:ind w:left="0"/>
        <w:jc w:val="both"/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</w:pPr>
    </w:p>
    <w:p w14:paraId="365B3DB0" w14:textId="3495B8B7" w:rsidR="00F61CA4" w:rsidRDefault="00360ED9" w:rsidP="00CB51D4">
      <w:pPr>
        <w:spacing w:after="0" w:line="240" w:lineRule="auto"/>
        <w:ind w:left="0"/>
        <w:jc w:val="both"/>
        <w:rPr>
          <w:rFonts w:ascii="Palatino" w:eastAsiaTheme="majorEastAsia" w:hAnsi="Palatino" w:cs="Times New Roman"/>
          <w:b/>
          <w:color w:val="333333"/>
          <w:sz w:val="24"/>
          <w:szCs w:val="26"/>
          <w:shd w:val="clear" w:color="auto" w:fill="FFFFFF"/>
          <w:lang w:eastAsia="zh-CN"/>
        </w:rPr>
      </w:pPr>
      <w:r w:rsidRPr="00360ED9">
        <w:rPr>
          <w:rFonts w:ascii="Palatino" w:eastAsiaTheme="majorEastAsia" w:hAnsi="Palatino" w:cs="Times New Roman"/>
          <w:b/>
          <w:color w:val="333333"/>
          <w:sz w:val="24"/>
          <w:szCs w:val="26"/>
          <w:shd w:val="clear" w:color="auto" w:fill="FFFFFF"/>
          <w:lang w:eastAsia="zh-CN"/>
        </w:rPr>
        <w:t xml:space="preserve">Results </w:t>
      </w:r>
    </w:p>
    <w:p w14:paraId="6EDC0F1B" w14:textId="3620E901" w:rsidR="001368DE" w:rsidRDefault="001368DE" w:rsidP="00CB51D4">
      <w:pPr>
        <w:spacing w:after="0" w:line="240" w:lineRule="auto"/>
        <w:ind w:left="0"/>
        <w:jc w:val="both"/>
        <w:rPr>
          <w:rFonts w:ascii="Palatino" w:eastAsiaTheme="majorEastAsia" w:hAnsi="Palatino" w:cs="Times New Roman"/>
          <w:b/>
          <w:color w:val="333333"/>
          <w:sz w:val="24"/>
          <w:szCs w:val="26"/>
          <w:shd w:val="clear" w:color="auto" w:fill="FFFFFF"/>
          <w:lang w:eastAsia="zh-CN"/>
        </w:rPr>
      </w:pPr>
    </w:p>
    <w:p w14:paraId="7EDA96DF" w14:textId="77777777" w:rsidR="001368DE" w:rsidRDefault="001368DE" w:rsidP="001368DE">
      <w:pPr>
        <w:spacing w:after="0" w:line="240" w:lineRule="auto"/>
        <w:ind w:left="0"/>
        <w:jc w:val="both"/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</w:pPr>
      <w:r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  <w:t xml:space="preserve">CTT resulted in items </w:t>
      </w:r>
      <w:proofErr w:type="gramStart"/>
      <w:r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  <w:t>( dimension</w:t>
      </w:r>
      <w:proofErr w:type="gramEnd"/>
      <w:r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  <w:t>), while Rasch model gives out item results (dimension).</w:t>
      </w:r>
    </w:p>
    <w:p w14:paraId="27979FCF" w14:textId="77777777" w:rsidR="001368DE" w:rsidRDefault="001368DE" w:rsidP="00CB51D4">
      <w:pPr>
        <w:spacing w:after="0" w:line="240" w:lineRule="auto"/>
        <w:ind w:left="0"/>
        <w:jc w:val="both"/>
        <w:rPr>
          <w:rFonts w:ascii="Palatino" w:eastAsiaTheme="majorEastAsia" w:hAnsi="Palatino" w:cs="Times New Roman"/>
          <w:b/>
          <w:color w:val="333333"/>
          <w:sz w:val="24"/>
          <w:szCs w:val="26"/>
          <w:shd w:val="clear" w:color="auto" w:fill="FFFFFF"/>
          <w:lang w:eastAsia="zh-CN"/>
        </w:rPr>
      </w:pPr>
    </w:p>
    <w:p w14:paraId="303F29E9" w14:textId="0237AFA2" w:rsidR="001368DE" w:rsidRDefault="001368DE" w:rsidP="001368DE">
      <w:pPr>
        <w:spacing w:after="0" w:line="240" w:lineRule="auto"/>
        <w:ind w:left="0"/>
        <w:jc w:val="both"/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</w:pPr>
      <w:r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  <w:t xml:space="preserve">The Energy Insecurity </w:t>
      </w:r>
      <w:r w:rsidRPr="00360ED9"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  <w:t>require</w:t>
      </w:r>
      <w:r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  <w:t>s</w:t>
      </w:r>
      <w:r w:rsidRPr="00360ED9"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  <w:t xml:space="preserve"> a single indicator or index number to describe the health status of the population being assessed.</w:t>
      </w:r>
      <w:r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  <w:t xml:space="preserve"> Thus, in our modelling, we </w:t>
      </w:r>
      <w:r w:rsidRPr="008C5312"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  <w:t>would provide a unique summary index</w:t>
      </w:r>
      <w:r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  <w:t xml:space="preserve"> for measuring Energy Insecurity, </w:t>
      </w:r>
      <w:r w:rsidRPr="007E0BB7"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  <w:t xml:space="preserve">indicating the </w:t>
      </w:r>
      <w:r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  <w:t>severity</w:t>
      </w:r>
      <w:r w:rsidRPr="007E0BB7"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  <w:t xml:space="preserve"> of </w:t>
      </w:r>
      <w:r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  <w:t>Energy Insecurity</w:t>
      </w:r>
      <w:r w:rsidRPr="007E0BB7"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  <w:t xml:space="preserve"> </w:t>
      </w:r>
      <w:r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  <w:t xml:space="preserve">among </w:t>
      </w:r>
      <w:r w:rsidRPr="007E0BB7"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  <w:t>respondents to the questionnaire with a single number.</w:t>
      </w:r>
    </w:p>
    <w:p w14:paraId="2D59811E" w14:textId="5DBB1645" w:rsidR="001368DE" w:rsidRDefault="001368DE" w:rsidP="001368DE">
      <w:pPr>
        <w:spacing w:after="0" w:line="240" w:lineRule="auto"/>
        <w:ind w:left="0"/>
        <w:jc w:val="both"/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</w:pPr>
    </w:p>
    <w:p w14:paraId="6D5232A6" w14:textId="2C02EFC9" w:rsidR="001368DE" w:rsidRPr="001368DE" w:rsidRDefault="001368DE" w:rsidP="001368DE">
      <w:pPr>
        <w:spacing w:after="0" w:line="240" w:lineRule="auto"/>
        <w:ind w:left="0"/>
        <w:jc w:val="both"/>
        <w:rPr>
          <w:rFonts w:ascii="Palatino" w:eastAsiaTheme="majorEastAsia" w:hAnsi="Palatino" w:cs="Times New Roman"/>
          <w:b/>
          <w:color w:val="333333"/>
          <w:sz w:val="24"/>
          <w:szCs w:val="26"/>
          <w:shd w:val="clear" w:color="auto" w:fill="FFFFFF"/>
          <w:lang w:eastAsia="zh-CN"/>
        </w:rPr>
      </w:pPr>
      <w:r w:rsidRPr="001368DE">
        <w:rPr>
          <w:rFonts w:ascii="Palatino" w:eastAsiaTheme="majorEastAsia" w:hAnsi="Palatino" w:cs="Times New Roman"/>
          <w:b/>
          <w:color w:val="333333"/>
          <w:sz w:val="24"/>
          <w:szCs w:val="26"/>
          <w:shd w:val="clear" w:color="auto" w:fill="FFFFFF"/>
          <w:lang w:eastAsia="zh-CN"/>
        </w:rPr>
        <w:t xml:space="preserve">Limitations </w:t>
      </w:r>
    </w:p>
    <w:p w14:paraId="07B5CB0A" w14:textId="22DFBA02" w:rsidR="001368DE" w:rsidRDefault="001368DE" w:rsidP="001368DE">
      <w:pPr>
        <w:spacing w:after="0" w:line="240" w:lineRule="auto"/>
        <w:ind w:left="0"/>
        <w:jc w:val="both"/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</w:pPr>
      <w:r w:rsidRPr="001368DE"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  <w:t>A single health index cannot be a wholly comprehensive measure.</w:t>
      </w:r>
    </w:p>
    <w:p w14:paraId="2A62ED87" w14:textId="77777777" w:rsidR="001368DE" w:rsidRPr="00360ED9" w:rsidRDefault="001368DE" w:rsidP="00CB51D4">
      <w:pPr>
        <w:spacing w:after="0" w:line="240" w:lineRule="auto"/>
        <w:ind w:left="0"/>
        <w:jc w:val="both"/>
        <w:rPr>
          <w:rFonts w:ascii="Palatino" w:eastAsiaTheme="majorEastAsia" w:hAnsi="Palatino" w:cs="Times New Roman"/>
          <w:b/>
          <w:color w:val="333333"/>
          <w:sz w:val="24"/>
          <w:szCs w:val="26"/>
          <w:shd w:val="clear" w:color="auto" w:fill="FFFFFF"/>
          <w:lang w:eastAsia="zh-CN"/>
        </w:rPr>
      </w:pPr>
    </w:p>
    <w:p w14:paraId="28630023" w14:textId="77777777" w:rsidR="00CB51D4" w:rsidRDefault="00CB51D4" w:rsidP="00CB51D4">
      <w:pPr>
        <w:spacing w:after="0" w:line="240" w:lineRule="auto"/>
        <w:ind w:left="0"/>
        <w:jc w:val="both"/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</w:pPr>
    </w:p>
    <w:p w14:paraId="53205B20" w14:textId="77777777" w:rsidR="00CB51D4" w:rsidRDefault="00CB51D4" w:rsidP="00CB51D4">
      <w:pPr>
        <w:spacing w:after="0" w:line="240" w:lineRule="auto"/>
        <w:ind w:left="0"/>
        <w:jc w:val="both"/>
        <w:rPr>
          <w:rFonts w:ascii="Palatino" w:eastAsiaTheme="majorEastAsia" w:hAnsi="Palatino" w:cs="Times New Roman"/>
          <w:color w:val="333333"/>
          <w:sz w:val="24"/>
          <w:szCs w:val="26"/>
          <w:shd w:val="clear" w:color="auto" w:fill="FFFFFF"/>
          <w:lang w:eastAsia="zh-CN"/>
        </w:rPr>
      </w:pPr>
    </w:p>
    <w:p w14:paraId="241A7B8F" w14:textId="77777777" w:rsidR="00CB51D4" w:rsidRPr="00CB51D4" w:rsidRDefault="00CB51D4" w:rsidP="00CB51D4">
      <w:pPr>
        <w:spacing w:after="0" w:line="240" w:lineRule="auto"/>
        <w:ind w:left="0"/>
        <w:jc w:val="both"/>
        <w:rPr>
          <w:rFonts w:ascii="Palatino" w:eastAsiaTheme="majorEastAsia" w:hAnsi="Palatino" w:cs="Times New Roman"/>
          <w:color w:val="auto"/>
          <w:szCs w:val="24"/>
          <w:lang w:eastAsia="zh-CN"/>
        </w:rPr>
      </w:pPr>
    </w:p>
    <w:p w14:paraId="073FF28D" w14:textId="77777777" w:rsidR="00FB525C" w:rsidRDefault="00FB525C" w:rsidP="00FB525C">
      <w:pPr>
        <w:pStyle w:val="Heading1"/>
        <w:numPr>
          <w:ilvl w:val="0"/>
          <w:numId w:val="0"/>
        </w:numPr>
        <w:ind w:left="360"/>
      </w:pPr>
    </w:p>
    <w:p w14:paraId="173179A6" w14:textId="77777777" w:rsidR="00155CF9" w:rsidRDefault="00155CF9" w:rsidP="00224719">
      <w:pPr>
        <w:ind w:left="0"/>
        <w:rPr>
          <w:b/>
        </w:rPr>
      </w:pPr>
    </w:p>
    <w:p w14:paraId="709AACC4" w14:textId="521BFFCF" w:rsidR="00BD76CD" w:rsidRPr="00155CF9" w:rsidRDefault="00155CF9" w:rsidP="00155CF9">
      <w:pPr>
        <w:pStyle w:val="Heading1"/>
      </w:pPr>
      <w:r w:rsidRPr="00155CF9">
        <w:lastRenderedPageBreak/>
        <w:t xml:space="preserve">Classical Sum Score Method </w:t>
      </w:r>
    </w:p>
    <w:p w14:paraId="00867821" w14:textId="3A002B12" w:rsidR="00155CF9" w:rsidRDefault="00155CF9" w:rsidP="00155CF9">
      <w:pPr>
        <w:pStyle w:val="Heading1"/>
      </w:pPr>
      <w:r>
        <w:t xml:space="preserve">Appropriate statistical regression model </w:t>
      </w:r>
    </w:p>
    <w:p w14:paraId="338127DC" w14:textId="40F0DA26" w:rsidR="00155CF9" w:rsidRDefault="00155CF9" w:rsidP="00155CF9">
      <w:pPr>
        <w:pStyle w:val="Heading1"/>
      </w:pPr>
      <w:bookmarkStart w:id="1" w:name="_GoBack"/>
      <w:bookmarkEnd w:id="1"/>
    </w:p>
    <w:sectPr w:rsidR="00155CF9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A7FAE" w14:textId="77777777" w:rsidR="00FD17A7" w:rsidRDefault="00FD17A7">
      <w:pPr>
        <w:spacing w:after="0" w:line="240" w:lineRule="auto"/>
      </w:pPr>
      <w:r>
        <w:separator/>
      </w:r>
    </w:p>
    <w:p w14:paraId="5FD12614" w14:textId="77777777" w:rsidR="00FD17A7" w:rsidRDefault="00FD17A7"/>
  </w:endnote>
  <w:endnote w:type="continuationSeparator" w:id="0">
    <w:p w14:paraId="49645BF0" w14:textId="77777777" w:rsidR="00FD17A7" w:rsidRDefault="00FD17A7">
      <w:pPr>
        <w:spacing w:after="0" w:line="240" w:lineRule="auto"/>
      </w:pPr>
      <w:r>
        <w:continuationSeparator/>
      </w:r>
    </w:p>
    <w:p w14:paraId="2A27CF8B" w14:textId="77777777" w:rsidR="00FD17A7" w:rsidRDefault="00FD17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Cambria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0520A" w14:textId="77777777" w:rsidR="00BD76CD" w:rsidRDefault="004C078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0506D" w14:textId="77777777" w:rsidR="00FD17A7" w:rsidRDefault="00FD17A7">
      <w:pPr>
        <w:spacing w:after="0" w:line="240" w:lineRule="auto"/>
      </w:pPr>
      <w:r>
        <w:separator/>
      </w:r>
    </w:p>
    <w:p w14:paraId="2AFA169A" w14:textId="77777777" w:rsidR="00FD17A7" w:rsidRDefault="00FD17A7"/>
  </w:footnote>
  <w:footnote w:type="continuationSeparator" w:id="0">
    <w:p w14:paraId="15CE9D67" w14:textId="77777777" w:rsidR="00FD17A7" w:rsidRDefault="00FD17A7">
      <w:pPr>
        <w:spacing w:after="0" w:line="240" w:lineRule="auto"/>
      </w:pPr>
      <w:r>
        <w:continuationSeparator/>
      </w:r>
    </w:p>
    <w:p w14:paraId="32793A48" w14:textId="77777777" w:rsidR="00FD17A7" w:rsidRDefault="00FD17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31E60"/>
    <w:multiLevelType w:val="hybridMultilevel"/>
    <w:tmpl w:val="E3364AB8"/>
    <w:lvl w:ilvl="0" w:tplc="5770D834"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83"/>
    <w:rsid w:val="001368DE"/>
    <w:rsid w:val="00155CF9"/>
    <w:rsid w:val="00174EAA"/>
    <w:rsid w:val="001C1AC0"/>
    <w:rsid w:val="00224719"/>
    <w:rsid w:val="00360ED9"/>
    <w:rsid w:val="004C0789"/>
    <w:rsid w:val="00553D93"/>
    <w:rsid w:val="00604ADC"/>
    <w:rsid w:val="007E0BB7"/>
    <w:rsid w:val="008C5312"/>
    <w:rsid w:val="00BD76CD"/>
    <w:rsid w:val="00C62A83"/>
    <w:rsid w:val="00CB51D4"/>
    <w:rsid w:val="00F61CA4"/>
    <w:rsid w:val="00FB525C"/>
    <w:rsid w:val="00FD1760"/>
    <w:rsid w:val="00FD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1DAF"/>
  <w15:chartTrackingRefBased/>
  <w15:docId w15:val="{7A88B821-FB6B-5348-B1F4-8526E75C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EAA"/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174E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B525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B525C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FB52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4AD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AD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an/Library/Containers/com.microsoft.Word/Data/Library/Application%20Support/Microsoft/Office/16.0/DTS/en-US%7b5F1DC0A3-4F4A-3D47-8373-80050935A4EA%7d/%7bF815E97E-3AC7-8843-9AA0-F03F31DD094B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{F815E97E-3AC7-8843-9AA0-F03F31DD094B}tf10002082.dotx</Template>
  <TotalTime>22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2019-04-22T14:54:00Z</dcterms:created>
  <dcterms:modified xsi:type="dcterms:W3CDTF">2019-05-10T18:04:00Z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