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Description of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Version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Server address: dev.kento.se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business app that enables a client to know their brand health. The application  measures and displays the current emotion health of a brand, i.e. Nike, Adidas. based on social media trends.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Features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Primary feature: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Public user: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Overview of brand health which shows positive or negative aggregation.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Location of tweets about a brand in real time , eg show on a map.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ClientFeatures: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Details of individual products.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Platforms.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web, android, ios.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Definitions: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Brand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health: the mood and/or consensus of a population measured by factors.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Business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Brands are interested in  current public opinion.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Can the app influence share value? Does it reflect share value? Does the share value change in correlation with public opinion?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brand can respond to analysis , i,e,  identify negative and positive trend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and communicate to consumers and/or changing marketing strategies.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How to measure.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First resource, Twitter.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examine tag and text over location.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tags do we look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do we measure a positive tweet?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Text analytics.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OTHER INPUTS.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Optional - e.g.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the trend in market consumption vs emotional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Architectural Drivers: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Security and Integrity: The client need to keep their account setting regarding what they are tracking. We are not handling sensitive data therefore not a major driver.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Performance: Available data should be presented in reasonable time. While there are parts that are outside our influence, getting the results once we have them should be quick.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Availability: You should be able to access the application pretty much anytime, even if Twitter is down.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Scalability: The application should allow for expanding upon if more users show up or more data gets tracked in general.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Usability: There should be a low learning curve and information should be easily understood in pressurised work environments.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Recoverability: It will be important for the system to be able to recover from problems it runs into, and at a reasonable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