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4E85" w14:textId="67B00E2F" w:rsidR="00726BAA" w:rsidRDefault="00307ECB">
      <w:r w:rsidRPr="00307ECB">
        <w:t>In the immediate aftermath of a disaster, speed and clarity matter most. Rapid mobilization of teams, transparent communication, and efficient distribution of relief can make the difference between chaos and order.</w:t>
      </w:r>
    </w:p>
    <w:sectPr w:rsidR="00726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307ECB"/>
    <w:rsid w:val="00726BAA"/>
    <w:rsid w:val="00C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279D-0A65-45C9-BACA-1208593F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YAP Ning Xuan</dc:creator>
  <cp:keywords/>
  <dc:description/>
  <cp:lastModifiedBy>Shanae YAP Ning Xuan</cp:lastModifiedBy>
  <cp:revision>2</cp:revision>
  <dcterms:created xsi:type="dcterms:W3CDTF">2025-09-08T02:13:00Z</dcterms:created>
  <dcterms:modified xsi:type="dcterms:W3CDTF">2025-09-08T02:14:00Z</dcterms:modified>
</cp:coreProperties>
</file>