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D3195" w14:textId="714A7903" w:rsidR="005B513F" w:rsidRDefault="004324A3">
      <w:r w:rsidRPr="004324A3">
        <w:t xml:space="preserve">Long-term recovery must also consider the human </w:t>
      </w:r>
      <w:proofErr w:type="gramStart"/>
      <w:r w:rsidRPr="004324A3">
        <w:t>dimension—restoring livelihoods</w:t>
      </w:r>
      <w:proofErr w:type="gramEnd"/>
      <w:r w:rsidRPr="004324A3">
        <w:t>, addressing trauma, and supporting communities in regaining a sense of normalcy. Without this, physical reconstruction alone cannot achieve sustainable recovery.</w:t>
      </w:r>
    </w:p>
    <w:sectPr w:rsidR="005B51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13F"/>
    <w:rsid w:val="004324A3"/>
    <w:rsid w:val="005B513F"/>
    <w:rsid w:val="00C4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75A9B1-33DB-4E4F-B6BA-09A83A403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1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1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1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1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1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1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1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1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1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1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1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1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1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1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1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1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1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1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1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1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1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1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1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1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1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1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1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Shanae YAP Ning Xuan</dc:creator>
  <cp:keywords/>
  <dc:description/>
  <cp:lastModifiedBy>Shanae YAP Ning Xuan</cp:lastModifiedBy>
  <cp:revision>2</cp:revision>
  <dcterms:created xsi:type="dcterms:W3CDTF">2025-09-08T02:14:00Z</dcterms:created>
  <dcterms:modified xsi:type="dcterms:W3CDTF">2025-09-08T02:14:00Z</dcterms:modified>
</cp:coreProperties>
</file>