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3924F4" w14:textId="652B5982" w:rsidR="00992D9C" w:rsidRPr="00CC7208" w:rsidRDefault="00CC7208" w:rsidP="00CC7208">
      <w:r w:rsidRPr="00CC7208">
        <w:t>Effective disaster management requires strong policy frameworks and governance structures that ensure clear roles, responsibilities, and decision-making processes across all levels of government. Establishing standardized protocols and regulatory guidelines helps streamline coordination between agencies and provides a foundation for resource allocation, risk assessment, and accountability.</w:t>
      </w:r>
    </w:p>
    <w:sectPr w:rsidR="00992D9C" w:rsidRPr="00CC72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9C"/>
    <w:rsid w:val="004A010D"/>
    <w:rsid w:val="00992D9C"/>
    <w:rsid w:val="00C40810"/>
    <w:rsid w:val="00CC7208"/>
    <w:rsid w:val="00F4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A7A72-209B-4077-A76A-98D1FC7D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D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D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D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D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Shanae YAP Ning Xuan</dc:creator>
  <cp:keywords/>
  <dc:description/>
  <cp:lastModifiedBy>Shanae YAP Ning Xuan</cp:lastModifiedBy>
  <cp:revision>3</cp:revision>
  <dcterms:created xsi:type="dcterms:W3CDTF">2025-09-08T02:14:00Z</dcterms:created>
  <dcterms:modified xsi:type="dcterms:W3CDTF">2025-09-12T02:49:00Z</dcterms:modified>
</cp:coreProperties>
</file>