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p>
    <w:p>
      <w:pPr>
        <w:spacing w:after="80" w:before="0"/>
        <w:jc w:val="left"/>
      </w:pPr>
      <w:r>
        <w:rPr>
          <w:rFonts w:ascii="Courier New" w:cs="Courier New" w:eastAsia="Courier New" w:hAnsi="Courier New"/>
          <w:b/>
          <w:bCs/>
          <w:color w:val="AAAAAA"/>
          <w:sz w:val="20"/>
          <w:szCs w:val="20"/>
        </w:rPr>
        <w:t xml:space="preserve">PATHWAY SYSTEMS</w:t>
      </w:r>
    </w:p>
    <w:p>
      <w:pPr>
        <w:spacing w:after="200" w:before="0"/>
      </w:pPr>
      <w:r>
        <w:rPr>
          <w:rFonts w:ascii="Arial" w:cs="Arial" w:eastAsia="Arial" w:hAnsi="Arial"/>
          <w:b/>
          <w:bCs/>
          <w:color w:val="0F0F0F"/>
          <w:sz w:val="56"/>
          <w:szCs w:val="56"/>
        </w:rPr>
        <w:t xml:space="preserve">UI Design Specification</w:t>
      </w:r>
    </w:p>
    <w:p>
      <w:pPr>
        <w:spacing w:after="80" w:before="0"/>
      </w:pPr>
      <w:r>
        <w:rPr>
          <w:rFonts w:ascii="Arial" w:cs="Arial" w:eastAsia="Arial" w:hAnsi="Arial"/>
          <w:color w:val="666666"/>
          <w:sz w:val="24"/>
          <w:szCs w:val="24"/>
        </w:rPr>
        <w:t xml:space="preserve">For handoff to UI/UX designer and illustrator.</w:t>
      </w:r>
    </w:p>
    <w:p>
      <w:pPr>
        <w:pBdr>
          <w:bottom w:val="single" w:color="E8711A" w:sz="6" w:space="1"/>
        </w:pBdr>
        <w:spacing w:after="0" w:before="0"/>
      </w:pPr>
    </w:p>
    <w:p>
      <w:pPr>
        <w:spacing w:after="120" w:before="80"/>
      </w:pPr>
    </w:p>
    <w:p>
      <w:pPr>
        <w:spacing w:after="40" w:before="0"/>
      </w:pPr>
      <w:r>
        <w:rPr>
          <w:rFonts w:ascii="Courier New" w:cs="Courier New" w:eastAsia="Courier New" w:hAnsi="Courier New"/>
          <w:color w:val="AAAAAA"/>
          <w:sz w:val="18"/>
          <w:szCs w:val="18"/>
        </w:rPr>
        <w:t xml:space="preserve">VERSION 1.0  ·  MAY 2026</w:t>
      </w:r>
    </w:p>
    <w:p>
      <w:pPr>
        <w:spacing w:after="40" w:before="0"/>
      </w:pPr>
      <w:r>
        <w:rPr>
          <w:rFonts w:ascii="Courier New" w:cs="Courier New" w:eastAsia="Courier New" w:hAnsi="Courier New"/>
          <w:color w:val="E8711A"/>
          <w:sz w:val="18"/>
          <w:szCs w:val="18"/>
        </w:rPr>
        <w:t xml:space="preserve">STATUS: DESIGN LANGUAGE LOCKED — ILLUSTRATION REQUIRED</w:t>
      </w:r>
    </w:p>
    <w:p>
      <w:pPr>
        <w:spacing w:after="120" w:before="400"/>
      </w:pPr>
    </w:p>
    <w:p>
      <w:pPr>
        <w:pStyle w:val="Heading1"/>
        <w:spacing w:after="160" w:before="400"/>
      </w:pPr>
      <w:r>
        <w:rPr>
          <w:rFonts w:ascii="Arial" w:cs="Arial" w:eastAsia="Arial" w:hAnsi="Arial"/>
          <w:b/>
          <w:bCs/>
          <w:color w:val="0F0F0F"/>
          <w:sz w:val="36"/>
          <w:szCs w:val="36"/>
        </w:rPr>
        <w:t xml:space="preserve">Purpose of This Document</w:t>
      </w:r>
    </w:p>
    <w:p>
      <w:pPr>
        <w:spacing w:after="60" w:before="60"/>
      </w:pPr>
      <w:r>
        <w:rPr>
          <w:rFonts w:ascii="Arial" w:cs="Arial" w:eastAsia="Arial" w:hAnsi="Arial"/>
          <w:color w:val="333333"/>
          <w:sz w:val="22"/>
          <w:szCs w:val="22"/>
        </w:rPr>
        <w:t xml:space="preserve">This document captures the visual design language developed for Pathway Systems and provides a precise brief for a UI/UX designer and illustrator to complete the interface. The design direction has been fully decided. The work remaining is execution — specifically the axonometric illustration system that cannot be produced in code alone.</w:t>
      </w:r>
    </w:p>
    <w:p>
      <w:pPr>
        <w:spacing w:after="120" w:before="80"/>
      </w:pPr>
    </w:p>
    <w:p>
      <w:pPr>
        <w:spacing w:after="60" w:before="60"/>
      </w:pPr>
      <w:r>
        <w:rPr>
          <w:rFonts w:ascii="Arial" w:cs="Arial" w:eastAsia="Arial" w:hAnsi="Arial"/>
          <w:color w:val="333333"/>
          <w:sz w:val="22"/>
          <w:szCs w:val="22"/>
        </w:rPr>
        <w:t xml:space="preserve">This spec covers: the aesthetic direction, colour system, typography, card component system, navigation shell, and a detailed brief for the illustrator.</w:t>
      </w:r>
    </w:p>
    <w:p>
      <w:pPr>
        <w:spacing w:after="120" w:before="200"/>
      </w:pPr>
    </w:p>
    <w:p>
      <w:pPr>
        <w:pStyle w:val="Heading1"/>
        <w:spacing w:after="160" w:before="400"/>
      </w:pPr>
      <w:r>
        <w:rPr>
          <w:rFonts w:ascii="Arial" w:cs="Arial" w:eastAsia="Arial" w:hAnsi="Arial"/>
          <w:b/>
          <w:bCs/>
          <w:color w:val="0F0F0F"/>
          <w:sz w:val="36"/>
          <w:szCs w:val="36"/>
        </w:rPr>
        <w:t xml:space="preserve">1. Aesthetic Direction</w:t>
      </w:r>
    </w:p>
    <w:p>
      <w:pPr>
        <w:pBdr>
          <w:bottom w:val="single" w:color="2A3D52" w:sz="6" w:space="1"/>
        </w:pBdr>
        <w:spacing w:after="0" w:before="0"/>
      </w:pPr>
    </w:p>
    <w:p>
      <w:pPr>
        <w:spacing w:after="120" w:before="80"/>
      </w:pPr>
    </w:p>
    <w:p>
      <w:pPr>
        <w:pStyle w:val="Heading2"/>
        <w:spacing w:after="120" w:before="320"/>
      </w:pPr>
      <w:r>
        <w:rPr>
          <w:rFonts w:ascii="Arial" w:cs="Arial" w:eastAsia="Arial" w:hAnsi="Arial"/>
          <w:b/>
          <w:bCs/>
          <w:color w:val="2A3D52"/>
          <w:sz w:val="26"/>
          <w:szCs w:val="26"/>
        </w:rPr>
        <w:t xml:space="preserve">1.1 The Reference</w:t>
      </w:r>
    </w:p>
    <w:p>
      <w:pPr>
        <w:spacing w:after="60" w:before="60"/>
      </w:pPr>
      <w:r>
        <w:rPr>
          <w:rFonts w:ascii="Arial" w:cs="Arial" w:eastAsia="Arial" w:hAnsi="Arial"/>
          <w:color w:val="333333"/>
          <w:sz w:val="22"/>
          <w:szCs w:val="22"/>
        </w:rPr>
        <w:t xml:space="preserve">The design language was derived from a single reference image: an axonometric technical illustration of a conveyor belt system, created for Pathway's own product explainer. This image captures everything the UI should feel like.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11A" w:sz="4"/>
              <w:left w:val="none" w:color="FFFFFF" w:sz="0"/>
              <w:bottom w:val="none" w:color="FFFFFF" w:sz="0"/>
              <w:right w:val="none" w:color="FFFFFF" w:sz="0"/>
            </w:tcBorders>
            <w:shd w:fill="FAFAFA" w:val="clear"/>
            <w:tcMar>
              <w:top w:type="dxa" w:w="160"/>
              <w:left w:type="dxa" w:w="200"/>
              <w:bottom w:type="dxa" w:w="160"/>
              <w:right w:type="dxa" w:w="200"/>
            </w:tcMar>
          </w:tcPr>
          <w:p>
            <w:pPr>
              <w:spacing w:after="80" w:before="0"/>
            </w:pPr>
            <w:r>
              <w:rPr>
                <w:rFonts w:ascii="Arial" w:cs="Arial" w:eastAsia="Arial" w:hAnsi="Arial"/>
                <w:b/>
                <w:bCs/>
                <w:color w:val="0F0F0F"/>
                <w:sz w:val="20"/>
                <w:szCs w:val="20"/>
              </w:rPr>
              <w:t xml:space="preserve">Key qualities extracted from the reference:</w:t>
            </w:r>
          </w:p>
          <w:p>
            <w:pPr>
              <w:pStyle w:val="ListParagraph"/>
              <w:numPr>
                <w:ilvl w:val="0"/>
                <w:numId w:val="2"/>
              </w:numPr>
            </w:pPr>
            <w:r>
              <w:rPr>
                <w:rFonts w:ascii="Arial" w:cs="Arial" w:eastAsia="Arial" w:hAnsi="Arial"/>
                <w:color w:val="333333"/>
                <w:sz w:val="20"/>
                <w:szCs w:val="20"/>
              </w:rPr>
              <w:t xml:space="preserve">Axonometric projection (30° isometric) — not a 3D render, a flat technical drawing that implies depth through perspective</w:t>
            </w:r>
          </w:p>
          <w:p>
            <w:pPr>
              <w:pStyle w:val="ListParagraph"/>
              <w:numPr>
                <w:ilvl w:val="0"/>
                <w:numId w:val="2"/>
              </w:numPr>
            </w:pPr>
            <w:r>
              <w:rPr>
                <w:rFonts w:ascii="Arial" w:cs="Arial" w:eastAsia="Arial" w:hAnsi="Arial"/>
                <w:color w:val="333333"/>
                <w:sz w:val="20"/>
                <w:szCs w:val="20"/>
              </w:rPr>
              <w:t xml:space="preserve">Generous white space — the illustration floats in the page, surrounded by air</w:t>
            </w:r>
          </w:p>
          <w:p>
            <w:pPr>
              <w:pStyle w:val="ListParagraph"/>
              <w:numPr>
                <w:ilvl w:val="0"/>
                <w:numId w:val="2"/>
              </w:numPr>
            </w:pPr>
            <w:r>
              <w:rPr>
                <w:rFonts w:ascii="Arial" w:cs="Arial" w:eastAsia="Arial" w:hAnsi="Arial"/>
                <w:color w:val="333333"/>
                <w:sz w:val="20"/>
                <w:szCs w:val="20"/>
              </w:rPr>
              <w:t xml:space="preserve">Two-tone steel blue — the machine body uses multiple faces (top, front, side) at different tones of the same blue to create depth</w:t>
            </w:r>
          </w:p>
          <w:p>
            <w:pPr>
              <w:pStyle w:val="ListParagraph"/>
              <w:numPr>
                <w:ilvl w:val="0"/>
                <w:numId w:val="2"/>
              </w:numPr>
            </w:pPr>
            <w:r>
              <w:rPr>
                <w:rFonts w:ascii="Arial" w:cs="Arial" w:eastAsia="Arial" w:hAnsi="Arial"/>
                <w:color w:val="333333"/>
                <w:sz w:val="20"/>
                <w:szCs w:val="20"/>
              </w:rPr>
              <w:t xml:space="preserve">One orange accent — the particle (cube) is the only orange element. Everything else is steel, graphite, or white</w:t>
            </w:r>
          </w:p>
          <w:p>
            <w:pPr>
              <w:pStyle w:val="ListParagraph"/>
              <w:numPr>
                <w:ilvl w:val="0"/>
                <w:numId w:val="2"/>
              </w:numPr>
            </w:pPr>
            <w:r>
              <w:rPr>
                <w:rFonts w:ascii="Arial" w:cs="Arial" w:eastAsia="Arial" w:hAnsi="Arial"/>
                <w:color w:val="333333"/>
                <w:sz w:val="20"/>
                <w:szCs w:val="20"/>
              </w:rPr>
              <w:t xml:space="preserve">2D annotation typography — callout labels with leader lines, uppercase, technical spec style</w:t>
            </w:r>
          </w:p>
          <w:p>
            <w:pPr>
              <w:pStyle w:val="ListParagraph"/>
              <w:numPr>
                <w:ilvl w:val="0"/>
                <w:numId w:val="2"/>
              </w:numPr>
            </w:pPr>
            <w:r>
              <w:rPr>
                <w:rFonts w:ascii="Arial" w:cs="Arial" w:eastAsia="Arial" w:hAnsi="Arial"/>
                <w:color w:val="333333"/>
                <w:sz w:val="20"/>
                <w:szCs w:val="20"/>
              </w:rPr>
              <w:t xml:space="preserve">Grid paper background — very faint, almost invisible, fades to nothing at the edges</w:t>
            </w:r>
          </w:p>
        </w:tc>
      </w:tr>
    </w:tbl>
    <w:p>
      <w:pPr>
        <w:spacing w:after="120" w:before="120"/>
      </w:pPr>
    </w:p>
    <w:p>
      <w:pPr>
        <w:pStyle w:val="Heading2"/>
        <w:spacing w:after="120" w:before="320"/>
      </w:pPr>
      <w:r>
        <w:rPr>
          <w:rFonts w:ascii="Arial" w:cs="Arial" w:eastAsia="Arial" w:hAnsi="Arial"/>
          <w:b/>
          <w:bCs/>
          <w:color w:val="2A3D52"/>
          <w:sz w:val="26"/>
          <w:szCs w:val="26"/>
        </w:rPr>
        <w:t xml:space="preserve">1.2 Emotional Brief</w:t>
      </w:r>
    </w:p>
    <w:p>
      <w:pPr>
        <w:spacing w:after="60" w:before="60"/>
      </w:pPr>
      <w:r>
        <w:rPr>
          <w:rFonts w:ascii="Arial" w:cs="Arial" w:eastAsia="Arial" w:hAnsi="Arial"/>
          <w:color w:val="333333"/>
          <w:sz w:val="22"/>
          <w:szCs w:val="22"/>
        </w:rPr>
        <w:t xml:space="preserve">The UI should feel like operating a precision machine — not using software. When an employee opens My Actions in the morning, the feeling is: I know exactly what I need to do, and this system has my back. The aesthetic language reinforces this: engineered, deliberate, nothing wasted.</w:t>
      </w:r>
    </w:p>
    <w:p>
      <w:pPr>
        <w:spacing w:after="120" w:before="80"/>
      </w:pPr>
    </w:p>
    <w:p>
      <w:pPr>
        <w:pBdr>
          <w:left w:val="single" w:color="E8711A" w:sz="12" w:space="8"/>
        </w:pBdr>
        <w:spacing w:after="60" w:before="60"/>
        <w:ind w:left="360"/>
      </w:pPr>
      <w:r>
        <w:rPr>
          <w:rFonts w:ascii="Arial" w:cs="Arial" w:eastAsia="Arial" w:hAnsi="Arial"/>
          <w:i/>
          <w:iCs/>
          <w:color w:val="666666"/>
          <w:sz w:val="20"/>
          <w:szCs w:val="20"/>
        </w:rPr>
        <w:t xml:space="preserve">This is not 'dark and moody SaaS'. It is not 'friendly and approachable'. It is not 'minimal and clean'. It is technical illustration brought into a software interface. The closest analogy is a well-designed engineering manual or an architectural drawing set.</w:t>
      </w:r>
    </w:p>
    <w:p>
      <w:pPr>
        <w:spacing w:after="120" w:before="120"/>
      </w:pPr>
    </w:p>
    <w:p>
      <w:pPr>
        <w:pStyle w:val="Heading2"/>
        <w:spacing w:after="120" w:before="320"/>
      </w:pPr>
      <w:r>
        <w:rPr>
          <w:rFonts w:ascii="Arial" w:cs="Arial" w:eastAsia="Arial" w:hAnsi="Arial"/>
          <w:b/>
          <w:bCs/>
          <w:color w:val="2A3D52"/>
          <w:sz w:val="26"/>
          <w:szCs w:val="26"/>
        </w:rPr>
        <w:t xml:space="preserve">1.3 What To Avoid</w:t>
      </w:r>
    </w:p>
    <w:p>
      <w:pPr>
        <w:pStyle w:val="ListParagraph"/>
        <w:numPr>
          <w:ilvl w:val="0"/>
          <w:numId w:val="2"/>
        </w:numPr>
      </w:pPr>
      <w:r>
        <w:rPr>
          <w:rFonts w:ascii="Arial" w:cs="Arial" w:eastAsia="Arial" w:hAnsi="Arial"/>
          <w:color w:val="333333"/>
          <w:sz w:val="20"/>
          <w:szCs w:val="20"/>
        </w:rPr>
        <w:t xml:space="preserve">Rounded corners — the reference uses none. Cards and components have hard edges.</w:t>
      </w:r>
    </w:p>
    <w:p>
      <w:pPr>
        <w:pStyle w:val="ListParagraph"/>
        <w:numPr>
          <w:ilvl w:val="0"/>
          <w:numId w:val="2"/>
        </w:numPr>
      </w:pPr>
      <w:r>
        <w:rPr>
          <w:rFonts w:ascii="Arial" w:cs="Arial" w:eastAsia="Arial" w:hAnsi="Arial"/>
          <w:color w:val="333333"/>
          <w:sz w:val="20"/>
          <w:szCs w:val="20"/>
        </w:rPr>
        <w:t xml:space="preserve">Gradients, drop shadows, blur effects — all forbidden. Depth comes from illustration, not CSS effects.</w:t>
      </w:r>
    </w:p>
    <w:p>
      <w:pPr>
        <w:pStyle w:val="ListParagraph"/>
        <w:numPr>
          <w:ilvl w:val="0"/>
          <w:numId w:val="2"/>
        </w:numPr>
      </w:pPr>
      <w:r>
        <w:rPr>
          <w:rFonts w:ascii="Arial" w:cs="Arial" w:eastAsia="Arial" w:hAnsi="Arial"/>
          <w:color w:val="333333"/>
          <w:sz w:val="20"/>
          <w:szCs w:val="20"/>
        </w:rPr>
        <w:t xml:space="preserve">Generic flat icons — every icon in the navigation should be a distinct axonometric object specific to its section.</w:t>
      </w:r>
    </w:p>
    <w:p>
      <w:pPr>
        <w:pStyle w:val="ListParagraph"/>
        <w:numPr>
          <w:ilvl w:val="0"/>
          <w:numId w:val="2"/>
        </w:numPr>
      </w:pPr>
      <w:r>
        <w:rPr>
          <w:rFonts w:ascii="Arial" w:cs="Arial" w:eastAsia="Arial" w:hAnsi="Arial"/>
          <w:color w:val="333333"/>
          <w:sz w:val="20"/>
          <w:szCs w:val="20"/>
        </w:rPr>
        <w:t xml:space="preserve">Neon or oversaturated color — the palette is restrained. Orange appears once per card, nowhere else.</w:t>
      </w:r>
    </w:p>
    <w:p>
      <w:pPr>
        <w:pStyle w:val="ListParagraph"/>
        <w:numPr>
          <w:ilvl w:val="0"/>
          <w:numId w:val="2"/>
        </w:numPr>
      </w:pPr>
      <w:r>
        <w:rPr>
          <w:rFonts w:ascii="Arial" w:cs="Arial" w:eastAsia="Arial" w:hAnsi="Arial"/>
          <w:color w:val="333333"/>
          <w:sz w:val="20"/>
          <w:szCs w:val="20"/>
        </w:rPr>
        <w:t xml:space="preserve">Cliché SaaS patterns — no card grids, no rounded pill badges, no ombre headers.</w:t>
      </w:r>
    </w:p>
    <w:p>
      <w:pPr>
        <w:spacing w:after="120" w:before="200"/>
      </w:pPr>
    </w:p>
    <w:p>
      <w:pPr>
        <w:pStyle w:val="Heading1"/>
        <w:spacing w:after="160" w:before="400"/>
      </w:pPr>
      <w:r>
        <w:rPr>
          <w:rFonts w:ascii="Arial" w:cs="Arial" w:eastAsia="Arial" w:hAnsi="Arial"/>
          <w:b/>
          <w:bCs/>
          <w:color w:val="0F0F0F"/>
          <w:sz w:val="36"/>
          <w:szCs w:val="36"/>
        </w:rPr>
        <w:t xml:space="preserve">2. Colour System</w:t>
      </w:r>
    </w:p>
    <w:p>
      <w:pPr>
        <w:pBdr>
          <w:bottom w:val="single" w:color="2A3D52" w:sz="6" w:space="1"/>
        </w:pBdr>
        <w:spacing w:after="0" w:before="0"/>
      </w:pPr>
    </w:p>
    <w:p>
      <w:pPr>
        <w:spacing w:after="120" w:before="80"/>
      </w:pPr>
    </w:p>
    <w:p>
      <w:pPr>
        <w:spacing w:after="60" w:before="60"/>
      </w:pPr>
      <w:r>
        <w:rPr>
          <w:rFonts w:ascii="Arial" w:cs="Arial" w:eastAsia="Arial" w:hAnsi="Arial"/>
          <w:color w:val="333333"/>
          <w:sz w:val="22"/>
          <w:szCs w:val="22"/>
        </w:rPr>
        <w:t xml:space="preserve">Three colours. That is the entire palette. Every additional colour added after this is a design decision that requires deliberate justification.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00"/>
        <w:gridCol w:w="4060"/>
      </w:tblGrid>
      <w:tr>
        <w:tc>
          <w:tcPr>
            <w:tcW w:type="dxa" w:w="8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SWATCH</w:t>
            </w:r>
          </w:p>
        </w:tc>
        <w:tc>
          <w:tcPr>
            <w:tcW w:type="dxa" w:w="20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HEX</w:t>
            </w:r>
          </w:p>
        </w:tc>
        <w:tc>
          <w:tcPr>
            <w:tcW w:type="dxa" w:w="25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NAME</w:t>
            </w:r>
          </w:p>
        </w:tc>
        <w:tc>
          <w:tcPr>
            <w:tcW w:type="dxa" w:w="40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ROLE</w:t>
            </w:r>
          </w:p>
        </w:tc>
      </w:tr>
      <w:tr>
        <w:tc>
          <w:tcPr>
            <w:tcW w:type="dxa" w:w="800"/>
            <w:tcBorders>
              <w:top w:val="single" w:color="DDDDDD" w:sz="1"/>
              <w:left w:val="single" w:color="DDDDDD" w:sz="1"/>
              <w:bottom w:val="single" w:color="DDDDDD" w:sz="1"/>
              <w:right w:val="single" w:color="DDDDDD" w:sz="1"/>
            </w:tcBorders>
            <w:shd w:fill="E8711A" w:val="clear"/>
            <w:tcMar>
              <w:top w:type="dxa" w:w="100"/>
              <w:left w:type="dxa" w:w="160"/>
              <w:bottom w:type="dxa" w:w="100"/>
              <w:right w:type="dxa" w:w="160"/>
            </w:tcMar>
          </w:tcP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color w:val="333333"/>
                <w:sz w:val="20"/>
                <w:szCs w:val="20"/>
              </w:rPr>
              <w:t xml:space="preserve">#E8711A</w:t>
            </w:r>
          </w:p>
        </w:tc>
        <w:tc>
          <w:tcPr>
            <w:tcW w:type="dxa" w:w="25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Particle Orange</w:t>
            </w:r>
          </w:p>
        </w:tc>
        <w:tc>
          <w:tcPr>
            <w:tcW w:type="dxa" w:w="40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66666"/>
                <w:sz w:val="20"/>
                <w:szCs w:val="20"/>
              </w:rPr>
              <w:t xml:space="preserve">Active work items only. The moving particle. One instance per card maximum.</w:t>
            </w:r>
          </w:p>
        </w:tc>
      </w:tr>
      <w:tr>
        <w:tc>
          <w:tcPr>
            <w:tcW w:type="dxa" w:w="800"/>
            <w:tcBorders>
              <w:top w:val="single" w:color="DDDDDD" w:sz="1"/>
              <w:left w:val="single" w:color="DDDDDD" w:sz="1"/>
              <w:bottom w:val="single" w:color="DDDDDD" w:sz="1"/>
              <w:right w:val="single" w:color="DDDDDD" w:sz="1"/>
            </w:tcBorders>
            <w:shd w:fill="2A3D52" w:val="clear"/>
            <w:tcMar>
              <w:top w:type="dxa" w:w="100"/>
              <w:left w:type="dxa" w:w="160"/>
              <w:bottom w:type="dxa" w:w="100"/>
              <w:right w:type="dxa" w:w="160"/>
            </w:tcMar>
          </w:tcP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color w:val="333333"/>
                <w:sz w:val="20"/>
                <w:szCs w:val="20"/>
              </w:rPr>
              <w:t xml:space="preserve">#2A3D52</w:t>
            </w:r>
          </w:p>
        </w:tc>
        <w:tc>
          <w:tcPr>
            <w:tcW w:type="dxa" w:w="25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Structure Steel</w:t>
            </w:r>
          </w:p>
        </w:tc>
        <w:tc>
          <w:tcPr>
            <w:tcW w:type="dxa" w:w="40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66666"/>
                <w:sz w:val="20"/>
                <w:szCs w:val="20"/>
              </w:rPr>
              <w:t xml:space="preserve">Navigation, structural UI elements, terminal icons. The machine.</w:t>
            </w:r>
          </w:p>
        </w:tc>
      </w:tr>
      <w:tr>
        <w:tc>
          <w:tcPr>
            <w:tcW w:type="dxa" w:w="800"/>
            <w:tcBorders>
              <w:top w:val="single" w:color="DDDDDD" w:sz="1"/>
              <w:left w:val="single" w:color="DDDDDD" w:sz="1"/>
              <w:bottom w:val="single" w:color="DDDDDD" w:sz="1"/>
              <w:right w:val="single" w:color="DDDDDD" w:sz="1"/>
            </w:tcBorders>
            <w:shd w:fill="0F0F0F" w:val="clear"/>
            <w:tcMar>
              <w:top w:type="dxa" w:w="100"/>
              <w:left w:type="dxa" w:w="160"/>
              <w:bottom w:type="dxa" w:w="100"/>
              <w:right w:type="dxa" w:w="160"/>
            </w:tcMar>
          </w:tcP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color w:val="333333"/>
                <w:sz w:val="20"/>
                <w:szCs w:val="20"/>
              </w:rPr>
              <w:t xml:space="preserve">#0F0F0F</w:t>
            </w:r>
          </w:p>
        </w:tc>
        <w:tc>
          <w:tcPr>
            <w:tcW w:type="dxa" w:w="25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Graphite Black</w:t>
            </w:r>
          </w:p>
        </w:tc>
        <w:tc>
          <w:tcPr>
            <w:tcW w:type="dxa" w:w="40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66666"/>
                <w:sz w:val="20"/>
                <w:szCs w:val="20"/>
              </w:rPr>
              <w:t xml:space="preserve">Primary text, card titles, all readable content.</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color w:val="333333"/>
                <w:sz w:val="20"/>
                <w:szCs w:val="20"/>
              </w:rPr>
              <w:t xml:space="preserve">#FFFFFF</w:t>
            </w:r>
          </w:p>
        </w:tc>
        <w:tc>
          <w:tcPr>
            <w:tcW w:type="dxa" w:w="25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Crisp White</w:t>
            </w:r>
          </w:p>
        </w:tc>
        <w:tc>
          <w:tcPr>
            <w:tcW w:type="dxa" w:w="40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66666"/>
                <w:sz w:val="20"/>
                <w:szCs w:val="20"/>
              </w:rPr>
              <w:t xml:space="preserve">Page background. Pure white, not off-white.</w:t>
            </w:r>
          </w:p>
        </w:tc>
      </w:tr>
      <w:tr>
        <w:tc>
          <w:tcPr>
            <w:tcW w:type="dxa" w:w="800"/>
            <w:tcBorders>
              <w:top w:val="single" w:color="DDDDDD" w:sz="1"/>
              <w:left w:val="single" w:color="DDDDDD" w:sz="1"/>
              <w:bottom w:val="single" w:color="DDDDDD" w:sz="1"/>
              <w:right w:val="single" w:color="DDDDDD" w:sz="1"/>
            </w:tcBorders>
            <w:shd w:fill="AAAAAA" w:val="clear"/>
            <w:tcMar>
              <w:top w:type="dxa" w:w="100"/>
              <w:left w:type="dxa" w:w="160"/>
              <w:bottom w:type="dxa" w:w="100"/>
              <w:right w:type="dxa" w:w="160"/>
            </w:tcMar>
          </w:tcPr>
          <w:p/>
        </w:tc>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color w:val="333333"/>
                <w:sz w:val="20"/>
                <w:szCs w:val="20"/>
              </w:rPr>
              <w:t xml:space="preserve">#AAAAAA</w:t>
            </w:r>
          </w:p>
        </w:tc>
        <w:tc>
          <w:tcPr>
            <w:tcW w:type="dxa" w:w="25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Annotation Grey</w:t>
            </w:r>
          </w:p>
        </w:tc>
        <w:tc>
          <w:tcPr>
            <w:tcW w:type="dxa" w:w="40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666666"/>
                <w:sz w:val="20"/>
                <w:szCs w:val="20"/>
              </w:rPr>
              <w:t xml:space="preserve">Metadata, labels, secondary text, grid lines.</w:t>
            </w:r>
          </w:p>
        </w:tc>
      </w:tr>
    </w:tbl>
    <w:p>
      <w:pPr>
        <w:spacing w:after="120" w:before="120"/>
      </w:pPr>
    </w:p>
    <w:p>
      <w:pPr>
        <w:pStyle w:val="Heading2"/>
        <w:spacing w:after="120" w:before="320"/>
      </w:pPr>
      <w:r>
        <w:rPr>
          <w:rFonts w:ascii="Arial" w:cs="Arial" w:eastAsia="Arial" w:hAnsi="Arial"/>
          <w:b/>
          <w:bCs/>
          <w:color w:val="2A3D52"/>
          <w:sz w:val="26"/>
          <w:szCs w:val="26"/>
        </w:rPr>
        <w:t xml:space="preserve">2.1 Colour Logic</w:t>
      </w:r>
    </w:p>
    <w:p>
      <w:pPr>
        <w:spacing w:after="60" w:before="60"/>
      </w:pPr>
      <w:r>
        <w:rPr>
          <w:rFonts w:ascii="Arial" w:cs="Arial" w:eastAsia="Arial" w:hAnsi="Arial"/>
          <w:color w:val="333333"/>
          <w:sz w:val="22"/>
          <w:szCs w:val="22"/>
        </w:rPr>
        <w:t xml:space="preserve">Colour in this system is semantic, not decorative. Each colour maps to a concept from Pathway's own product language:</w:t>
      </w:r>
    </w:p>
    <w:p>
      <w:pPr>
        <w:spacing w:after="120" w:before="60"/>
      </w:pPr>
    </w:p>
    <w:p>
      <w:pPr>
        <w:pStyle w:val="ListParagraph"/>
        <w:numPr>
          <w:ilvl w:val="0"/>
          <w:numId w:val="2"/>
        </w:numPr>
      </w:pPr>
      <w:r>
        <w:rPr>
          <w:rFonts w:ascii="Arial" w:cs="Arial" w:eastAsia="Arial" w:hAnsi="Arial"/>
          <w:color w:val="333333"/>
          <w:sz w:val="20"/>
          <w:szCs w:val="20"/>
        </w:rPr>
        <w:t xml:space="preserve">Orange = the Particle. The thing being worked on. It moves. It is alive. It is the only warm colour in the interface.</w:t>
      </w:r>
    </w:p>
    <w:p>
      <w:pPr>
        <w:pStyle w:val="ListParagraph"/>
        <w:numPr>
          <w:ilvl w:val="0"/>
          <w:numId w:val="2"/>
        </w:numPr>
      </w:pPr>
      <w:r>
        <w:rPr>
          <w:rFonts w:ascii="Arial" w:cs="Arial" w:eastAsia="Arial" w:hAnsi="Arial"/>
          <w:color w:val="333333"/>
          <w:sz w:val="20"/>
          <w:szCs w:val="20"/>
        </w:rPr>
        <w:t xml:space="preserve">Steel Blue = the Rail and Terminal. The structure. The machine the particle moves through. It is static, engineered, reliable.</w:t>
      </w:r>
    </w:p>
    <w:p>
      <w:pPr>
        <w:pStyle w:val="ListParagraph"/>
        <w:numPr>
          <w:ilvl w:val="0"/>
          <w:numId w:val="2"/>
        </w:numPr>
      </w:pPr>
      <w:r>
        <w:rPr>
          <w:rFonts w:ascii="Arial" w:cs="Arial" w:eastAsia="Arial" w:hAnsi="Arial"/>
          <w:color w:val="333333"/>
          <w:sz w:val="20"/>
          <w:szCs w:val="20"/>
        </w:rPr>
        <w:t xml:space="preserve">White = the Page. The drawing surface. The space the illustration inhabits.</w:t>
      </w:r>
    </w:p>
    <w:p>
      <w:pPr>
        <w:spacing w:after="120" w:before="80"/>
      </w:pPr>
    </w:p>
    <w:p>
      <w:pPr>
        <w:pBdr>
          <w:left w:val="single" w:color="E8711A" w:sz="12" w:space="8"/>
        </w:pBdr>
        <w:spacing w:after="60" w:before="60"/>
        <w:ind w:left="360"/>
      </w:pPr>
      <w:r>
        <w:rPr>
          <w:rFonts w:ascii="Arial" w:cs="Arial" w:eastAsia="Arial" w:hAnsi="Arial"/>
          <w:i/>
          <w:iCs/>
          <w:color w:val="666666"/>
          <w:sz w:val="20"/>
          <w:szCs w:val="20"/>
        </w:rPr>
        <w:t xml:space="preserve">When an element is active (being worked on now), it gets orange. When it is structural (navigation, completed, waiting), it gets steel blue. This rule applies to every surface in the application.</w:t>
      </w:r>
    </w:p>
    <w:p>
      <w:pPr>
        <w:spacing w:after="120" w:before="200"/>
      </w:pPr>
    </w:p>
    <w:p>
      <w:pPr>
        <w:pStyle w:val="Heading1"/>
        <w:spacing w:after="160" w:before="400"/>
      </w:pPr>
      <w:r>
        <w:rPr>
          <w:rFonts w:ascii="Arial" w:cs="Arial" w:eastAsia="Arial" w:hAnsi="Arial"/>
          <w:b/>
          <w:bCs/>
          <w:color w:val="0F0F0F"/>
          <w:sz w:val="36"/>
          <w:szCs w:val="36"/>
        </w:rPr>
        <w:t xml:space="preserve">3. Typography</w:t>
      </w:r>
    </w:p>
    <w:p>
      <w:pPr>
        <w:pBdr>
          <w:bottom w:val="single" w:color="2A3D52" w:sz="6" w:space="1"/>
        </w:pBdr>
        <w:spacing w:after="0" w:before="0"/>
      </w:pP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TYPE SYSTEM</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Title font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Sans 600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Card titles, section headers, names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Body font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Sans 400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Body text, descriptions, muted content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Mono font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Mono 400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All metadata, labels, badges, status tags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Mono bold</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Mono 600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Section headers in mono contexts</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SIZES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Card title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13px / 600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IBM Plex Sans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Body</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13px / 400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IBM Plex Sans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Metadata</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9px / 400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IBM Plex Mono, letter-spacing 0.06em</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Label / badge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8px / 400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IBM Plex Mono, letter-spacing 0.08–0.14em</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Section label</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9px / 600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IBM Plex Mono, ALL CAPS, letter-spacing 0.14em</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RATIONALE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Why IBM Plex?</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Same family, two styles</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Sans for reading, Mono for annotation — unified but distinct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Why not Courier?</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Too aggressive</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Courier reads as 'typewriter'. Plex Mono reads as 'engineering'.</w:t>
            </w:r>
          </w:p>
        </w:tc>
      </w:tr>
    </w:tbl>
    <w:p>
      <w:pPr>
        <w:spacing w:after="120" w:before="200"/>
      </w:pPr>
    </w:p>
    <w:p>
      <w:pPr>
        <w:pStyle w:val="Heading1"/>
        <w:spacing w:after="160" w:before="400"/>
      </w:pPr>
      <w:r>
        <w:rPr>
          <w:rFonts w:ascii="Arial" w:cs="Arial" w:eastAsia="Arial" w:hAnsi="Arial"/>
          <w:b/>
          <w:bCs/>
          <w:color w:val="0F0F0F"/>
          <w:sz w:val="36"/>
          <w:szCs w:val="36"/>
        </w:rPr>
        <w:t xml:space="preserve">4. Card Component System</w:t>
      </w:r>
    </w:p>
    <w:p>
      <w:pPr>
        <w:pBdr>
          <w:bottom w:val="single" w:color="2A3D52" w:sz="6" w:space="1"/>
        </w:pBdr>
        <w:spacing w:after="0" w:before="0"/>
      </w:pPr>
    </w:p>
    <w:p>
      <w:pPr>
        <w:spacing w:after="120" w:before="80"/>
      </w:pPr>
    </w:p>
    <w:p>
      <w:pPr>
        <w:spacing w:after="60" w:before="60"/>
      </w:pPr>
      <w:r>
        <w:rPr>
          <w:rFonts w:ascii="Arial" w:cs="Arial" w:eastAsia="Arial" w:hAnsi="Arial"/>
          <w:color w:val="333333"/>
          <w:sz w:val="22"/>
          <w:szCs w:val="22"/>
        </w:rPr>
        <w:t xml:space="preserve">The cycle card is the primary UI unit of the entire application. Every employee interaction happens through this component. It must be immediately readable, clearly prioritised, and carry the product's visual language through its small axonometric icon.</w:t>
      </w:r>
    </w:p>
    <w:p>
      <w:pPr>
        <w:spacing w:after="120" w:before="120"/>
      </w:pPr>
    </w:p>
    <w:p>
      <w:pPr>
        <w:pStyle w:val="Heading2"/>
        <w:spacing w:after="120" w:before="320"/>
      </w:pPr>
      <w:r>
        <w:rPr>
          <w:rFonts w:ascii="Arial" w:cs="Arial" w:eastAsia="Arial" w:hAnsi="Arial"/>
          <w:b/>
          <w:bCs/>
          <w:color w:val="2A3D52"/>
          <w:sz w:val="26"/>
          <w:szCs w:val="26"/>
        </w:rPr>
        <w:t xml:space="preserve">4.1 Card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ELEMENTS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Axo icon</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28 × 28px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Left-anchored. Orange cube (active), steel cube (queued), faded steel (new)</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Title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Sans 600 / 13px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Company name + action type. Full colour when active, #777 when queued.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Metadata line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Mono / 9px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TERMINAL X/Y · SECTION NAME · TIME REMAINING</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Progress pips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18px × 2px each, 3px gap</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Orange filled = completed steps, #EEE = remaining steps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Status badge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Mono / 8px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Border only, no fill. Orange border = ACTIVE, Steel border = QUEUED.</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BOUNDARY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Border style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Open registration marks</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Four L-shaped corner marks. Lines do NOT meet. See reference image.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Corner mark length</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18px per line</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Horizontal and vertical stubs, 8px gap between them</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Center ticks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30% of card width</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Centered on top and bottom edges. 0.7px, 30% opacity.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Active left line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2px, #E8711A, 40% opacity</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Runs between the two left corner marks only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Border radius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No rounding anywhere in the system</w:t>
            </w:r>
          </w:p>
        </w:tc>
      </w:tr>
    </w:tbl>
    <w:p>
      <w:pPr>
        <w:spacing w:after="120" w:before="120"/>
      </w:pPr>
    </w:p>
    <w:p>
      <w:pPr>
        <w:pStyle w:val="Heading2"/>
        <w:spacing w:after="120" w:before="320"/>
      </w:pPr>
      <w:r>
        <w:rPr>
          <w:rFonts w:ascii="Arial" w:cs="Arial" w:eastAsia="Arial" w:hAnsi="Arial"/>
          <w:b/>
          <w:bCs/>
          <w:color w:val="2A3D52"/>
          <w:sz w:val="26"/>
          <w:szCs w:val="26"/>
        </w:rPr>
        <w:t xml:space="preserve">4.2 Card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0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STATE</w:t>
            </w:r>
          </w:p>
        </w:tc>
        <w:tc>
          <w:tcPr>
            <w:tcW w:type="dxa" w:w="22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ICON</w:t>
            </w:r>
          </w:p>
        </w:tc>
        <w:tc>
          <w:tcPr>
            <w:tcW w:type="dxa" w:w="25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MARKS</w:t>
            </w:r>
          </w:p>
        </w:tc>
        <w:tc>
          <w:tcPr>
            <w:tcW w:type="dxa" w:w="258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OPACITY</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b/>
                <w:bCs/>
                <w:color w:val="E8711A"/>
                <w:sz w:val="20"/>
                <w:szCs w:val="20"/>
              </w:rPr>
              <w:t xml:space="preserve">ACTIVE</w:t>
            </w:r>
          </w:p>
        </w:tc>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Orange cube, full opacity</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Left marks orange, right marks graphite</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100%</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b/>
                <w:bCs/>
                <w:color w:val="2A3D52"/>
                <w:sz w:val="20"/>
                <w:szCs w:val="20"/>
              </w:rPr>
              <w:t xml:space="preserve">QUEUED</w:t>
            </w:r>
          </w:p>
        </w:tc>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Steel cube, 30% opacity</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Steel blue, 40% opacity</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70% overall</w:t>
            </w:r>
          </w:p>
        </w:tc>
      </w:tr>
      <w:tr>
        <w:tc>
          <w:tcPr>
            <w:tcW w:type="dxa" w:w="20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Courier New" w:cs="Courier New" w:eastAsia="Courier New" w:hAnsi="Courier New"/>
                <w:b/>
                <w:bCs/>
                <w:color w:val="AAAAAA"/>
                <w:sz w:val="20"/>
                <w:szCs w:val="20"/>
              </w:rPr>
              <w:t xml:space="preserve">NEW</w:t>
            </w:r>
          </w:p>
        </w:tc>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Steel cube, 15% opacity</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#CCC, 80% opacity</w:t>
            </w:r>
          </w:p>
        </w:tc>
        <w:tc>
          <w:tcPr>
            <w:tcW w:type="dxa" w:w="258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40% overall</w:t>
            </w:r>
          </w:p>
        </w:tc>
      </w:tr>
    </w:tbl>
    <w:p>
      <w:pPr>
        <w:spacing w:after="120" w:before="200"/>
      </w:pPr>
    </w:p>
    <w:p>
      <w:pPr>
        <w:pStyle w:val="Heading1"/>
        <w:spacing w:after="160" w:before="400"/>
      </w:pPr>
      <w:r>
        <w:rPr>
          <w:rFonts w:ascii="Arial" w:cs="Arial" w:eastAsia="Arial" w:hAnsi="Arial"/>
          <w:b/>
          <w:bCs/>
          <w:color w:val="0F0F0F"/>
          <w:sz w:val="36"/>
          <w:szCs w:val="36"/>
        </w:rPr>
        <w:t xml:space="preserve">5. Navigation Shell</w:t>
      </w:r>
    </w:p>
    <w:p>
      <w:pPr>
        <w:pBdr>
          <w:bottom w:val="single" w:color="2A3D52" w:sz="6" w:space="1"/>
        </w:pBdr>
        <w:spacing w:after="0" w:before="0"/>
      </w:pPr>
    </w:p>
    <w:p>
      <w:pPr>
        <w:spacing w:after="120" w:before="80"/>
      </w:pPr>
    </w:p>
    <w:p>
      <w:pPr>
        <w:pStyle w:val="Heading2"/>
        <w:spacing w:after="120" w:before="320"/>
      </w:pPr>
      <w:r>
        <w:rPr>
          <w:rFonts w:ascii="Arial" w:cs="Arial" w:eastAsia="Arial" w:hAnsi="Arial"/>
          <w:b/>
          <w:bCs/>
          <w:color w:val="2A3D52"/>
          <w:sz w:val="26"/>
          <w:szCs w:val="26"/>
        </w:rPr>
        <w:t xml:space="preserve">5.1 Sidebar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DIMENSIONS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Sidebar width</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200px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Fixed. Does not collapse in this version.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Right border</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0.5px, #F0F0F0</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Barely visible divider between nav and content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Background</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#FFFFFF</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Same as page — no sidebar background colour</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LOGO AREA</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Logo mark</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Axonometric — TBD</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Rail with particle on it. Designer to create. See Section 6.</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Wordmark</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PATHWAY — IBM Plex Mono 600 / 11px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Letter-spacing 0.06em, #0F0F0F</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Bottom border</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0.5px, #F4F4F4</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Separates logo from nav items</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NAV ITEMS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Active state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2px left line, #E8711A</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Matches active card language. Light #FAFAFA background.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Inactive state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No indicator</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Icon at 35% opacity. Label #888888.</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Item height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~38px</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9px padding top and bottom</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Group labels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IBM Plex Mono / 8px, #CCCCCC</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WORKSPACE, ORGANISATION, ADMIN — all caps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Dividers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1px, #F4F4F4</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Between nav groups</w:t>
            </w:r>
          </w:p>
        </w:tc>
      </w:tr>
      <w:tr>
        <w:tc>
          <w:tcPr>
            <w:tcW w:type="dxa" w:w="9360"/>
            <w:gridSpan w:val="3"/>
            <w:tcBorders>
              <w:top w:val="none" w:color="FFFFFF" w:sz="0"/>
              <w:left w:val="none" w:color="FFFFFF" w:sz="0"/>
              <w:bottom w:val="single" w:color="DDDDDD" w:sz="1"/>
              <w:right w:val="none" w:color="FFFFFF" w:sz="0"/>
            </w:tcBorders>
            <w:shd w:fill="FFFFFF" w:val="clear"/>
            <w:tcMar>
              <w:top w:type="dxa" w:w="160"/>
              <w:left w:type="dxa" w:w="0"/>
              <w:bottom w:type="dxa" w:w="80"/>
              <w:right w:type="dxa" w:w="0"/>
            </w:tcMar>
          </w:tcPr>
          <w:p>
            <w:r>
              <w:rPr>
                <w:rFonts w:ascii="Courier New" w:cs="Courier New" w:eastAsia="Courier New" w:hAnsi="Courier New"/>
                <w:b/>
                <w:bCs/>
                <w:color w:val="AAAAAA"/>
                <w:sz w:val="16"/>
                <w:szCs w:val="16"/>
              </w:rPr>
              <w:t xml:space="preserve">USER BLOCK</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Position</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Bottom of sidebar</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Pinned. Separated by top border.</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Avatar</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26×26px square, #2A3D52 bg</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Two-letter initials, IBM Plex Mono / 9px, #8BAABF</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r>
              <w:rPr>
                <w:rFonts w:ascii="Courier New" w:cs="Courier New" w:eastAsia="Courier New" w:hAnsi="Courier New"/>
                <w:color w:val="2A3D52"/>
                <w:sz w:val="18"/>
                <w:szCs w:val="18"/>
              </w:rPr>
              <w:t xml:space="preserve">Status dot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6×6px, #E8711A</w:t>
            </w:r>
          </w:p>
        </w:tc>
        <w:tc>
          <w:tcPr>
            <w:tcW w:type="dxa" w:w="3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888888"/>
                <w:sz w:val="18"/>
                <w:szCs w:val="18"/>
              </w:rPr>
              <w:t xml:space="preserve">Right-aligned. Active session indicator.</w:t>
            </w:r>
          </w:p>
        </w:tc>
      </w:tr>
    </w:tbl>
    <w:p>
      <w:pPr>
        <w:spacing w:after="120" w:before="200"/>
      </w:pPr>
    </w:p>
    <w:p>
      <w:pPr>
        <w:pStyle w:val="Heading1"/>
        <w:spacing w:after="160" w:before="400"/>
      </w:pPr>
      <w:r>
        <w:rPr>
          <w:rFonts w:ascii="Arial" w:cs="Arial" w:eastAsia="Arial" w:hAnsi="Arial"/>
          <w:b/>
          <w:bCs/>
          <w:color w:val="0F0F0F"/>
          <w:sz w:val="36"/>
          <w:szCs w:val="36"/>
        </w:rPr>
        <w:t xml:space="preserve">6. Illustrator Brief</w:t>
      </w:r>
    </w:p>
    <w:p>
      <w:pPr>
        <w:pBdr>
          <w:bottom w:val="single" w:color="E8711A" w:sz="6" w:space="1"/>
        </w:pBdr>
        <w:spacing w:after="0" w:before="0"/>
      </w:pPr>
    </w:p>
    <w:p>
      <w:pPr>
        <w:spacing w:after="120" w:before="80"/>
      </w:pPr>
    </w:p>
    <w:p>
      <w:pPr>
        <w:spacing w:after="120" w:before="0"/>
      </w:pPr>
      <w:r>
        <w:rPr>
          <w:rFonts w:ascii="Arial" w:cs="Arial" w:eastAsia="Arial" w:hAnsi="Arial"/>
          <w:b/>
          <w:bCs/>
          <w:color w:val="E8711A"/>
          <w:sz w:val="22"/>
          <w:szCs w:val="22"/>
        </w:rPr>
        <w:t xml:space="preserve">⚠  THIS SECTION IS THE PRIMARY DELIVERABLE FOR THE ILLUSTRATOR</w:t>
      </w:r>
    </w:p>
    <w:p>
      <w:pPr>
        <w:spacing w:after="60" w:before="60"/>
      </w:pPr>
      <w:r>
        <w:rPr>
          <w:rFonts w:ascii="Arial" w:cs="Arial" w:eastAsia="Arial" w:hAnsi="Arial"/>
          <w:color w:val="333333"/>
          <w:sz w:val="22"/>
          <w:szCs w:val="22"/>
        </w:rPr>
        <w:t xml:space="preserve">The following illustration work cannot be produced in code. It requires a skilled illustrator working in the axonometric technical style established by the reference image. All illustrations should be delivered as SVG files for implementation.</w:t>
      </w:r>
    </w:p>
    <w:p>
      <w:pPr>
        <w:spacing w:after="120" w:before="120"/>
      </w:pPr>
    </w:p>
    <w:p>
      <w:pPr>
        <w:pStyle w:val="Heading2"/>
        <w:spacing w:after="120" w:before="320"/>
      </w:pPr>
      <w:r>
        <w:rPr>
          <w:rFonts w:ascii="Arial" w:cs="Arial" w:eastAsia="Arial" w:hAnsi="Arial"/>
          <w:b/>
          <w:bCs/>
          <w:color w:val="2A3D52"/>
          <w:sz w:val="26"/>
          <w:szCs w:val="26"/>
        </w:rPr>
        <w:t xml:space="preserve">6.1 Style Rules for All Illustrations</w:t>
      </w:r>
    </w:p>
    <w:p>
      <w:pPr>
        <w:pStyle w:val="ListParagraph"/>
        <w:numPr>
          <w:ilvl w:val="0"/>
          <w:numId w:val="2"/>
        </w:numPr>
      </w:pPr>
      <w:r>
        <w:rPr>
          <w:rFonts w:ascii="Arial" w:cs="Arial" w:eastAsia="Arial" w:hAnsi="Arial"/>
          <w:color w:val="333333"/>
          <w:sz w:val="20"/>
          <w:szCs w:val="20"/>
        </w:rPr>
        <w:t xml:space="preserve">Axonometric projection at 30° — the standard isometric angle used in the reference image</w:t>
      </w:r>
    </w:p>
    <w:p>
      <w:pPr>
        <w:pStyle w:val="ListParagraph"/>
        <w:numPr>
          <w:ilvl w:val="0"/>
          <w:numId w:val="2"/>
        </w:numPr>
      </w:pPr>
      <w:r>
        <w:rPr>
          <w:rFonts w:ascii="Arial" w:cs="Arial" w:eastAsia="Arial" w:hAnsi="Arial"/>
          <w:color w:val="333333"/>
          <w:sz w:val="20"/>
          <w:szCs w:val="20"/>
        </w:rPr>
        <w:t xml:space="preserve">Every 3D object has three visible faces: top, front, and side — each a different tone of the same colour family</w:t>
      </w:r>
    </w:p>
    <w:p>
      <w:pPr>
        <w:pStyle w:val="ListParagraph"/>
        <w:numPr>
          <w:ilvl w:val="0"/>
          <w:numId w:val="2"/>
        </w:numPr>
      </w:pPr>
      <w:r>
        <w:rPr>
          <w:rFonts w:ascii="Arial" w:cs="Arial" w:eastAsia="Arial" w:hAnsi="Arial"/>
          <w:color w:val="333333"/>
          <w:sz w:val="20"/>
          <w:szCs w:val="20"/>
        </w:rPr>
        <w:t xml:space="preserve">Steel blue face tones: top #3A5068, front #2A3D52, side #1A2D3E — consistent across all illustrations</w:t>
      </w:r>
    </w:p>
    <w:p>
      <w:pPr>
        <w:pStyle w:val="ListParagraph"/>
        <w:numPr>
          <w:ilvl w:val="0"/>
          <w:numId w:val="2"/>
        </w:numPr>
      </w:pPr>
      <w:r>
        <w:rPr>
          <w:rFonts w:ascii="Arial" w:cs="Arial" w:eastAsia="Arial" w:hAnsi="Arial"/>
          <w:color w:val="333333"/>
          <w:sz w:val="20"/>
          <w:szCs w:val="20"/>
        </w:rPr>
        <w:t xml:space="preserve">Orange cube face tones: top #F4945A, front #E8711A, side #C05A10</w:t>
      </w:r>
    </w:p>
    <w:p>
      <w:pPr>
        <w:pStyle w:val="ListParagraph"/>
        <w:numPr>
          <w:ilvl w:val="0"/>
          <w:numId w:val="2"/>
        </w:numPr>
      </w:pPr>
      <w:r>
        <w:rPr>
          <w:rFonts w:ascii="Arial" w:cs="Arial" w:eastAsia="Arial" w:hAnsi="Arial"/>
          <w:color w:val="333333"/>
          <w:sz w:val="20"/>
          <w:szCs w:val="20"/>
        </w:rPr>
        <w:t xml:space="preserve">Stroke weight: 0.8px on all edges, colour #1A1A1A at 80% opacity</w:t>
      </w:r>
    </w:p>
    <w:p>
      <w:pPr>
        <w:pStyle w:val="ListParagraph"/>
        <w:numPr>
          <w:ilvl w:val="0"/>
          <w:numId w:val="2"/>
        </w:numPr>
      </w:pPr>
      <w:r>
        <w:rPr>
          <w:rFonts w:ascii="Arial" w:cs="Arial" w:eastAsia="Arial" w:hAnsi="Arial"/>
          <w:color w:val="333333"/>
          <w:sz w:val="20"/>
          <w:szCs w:val="20"/>
        </w:rPr>
        <w:t xml:space="preserve">No drop shadows, no gradients, no glows — all depth through flat face tones only</w:t>
      </w:r>
    </w:p>
    <w:p>
      <w:pPr>
        <w:pStyle w:val="ListParagraph"/>
        <w:numPr>
          <w:ilvl w:val="0"/>
          <w:numId w:val="2"/>
        </w:numPr>
      </w:pPr>
      <w:r>
        <w:rPr>
          <w:rFonts w:ascii="Arial" w:cs="Arial" w:eastAsia="Arial" w:hAnsi="Arial"/>
          <w:color w:val="333333"/>
          <w:sz w:val="20"/>
          <w:szCs w:val="20"/>
        </w:rPr>
        <w:t xml:space="preserve">Delivered as SVG, optimised, with named layers per object</w:t>
      </w:r>
    </w:p>
    <w:p>
      <w:pPr>
        <w:spacing w:after="120" w:before="120"/>
      </w:pPr>
    </w:p>
    <w:p>
      <w:pPr>
        <w:pStyle w:val="Heading2"/>
        <w:spacing w:after="120" w:before="320"/>
      </w:pPr>
      <w:r>
        <w:rPr>
          <w:rFonts w:ascii="Arial" w:cs="Arial" w:eastAsia="Arial" w:hAnsi="Arial"/>
          <w:b/>
          <w:bCs/>
          <w:color w:val="2A3D52"/>
          <w:sz w:val="26"/>
          <w:szCs w:val="26"/>
        </w:rPr>
        <w:t xml:space="preserve">6.2 Navigation Icons (Priority 1)</w:t>
      </w:r>
    </w:p>
    <w:p>
      <w:pPr>
        <w:spacing w:after="60" w:before="60"/>
      </w:pPr>
      <w:r>
        <w:rPr>
          <w:rFonts w:ascii="Arial" w:cs="Arial" w:eastAsia="Arial" w:hAnsi="Arial"/>
          <w:color w:val="333333"/>
          <w:sz w:val="22"/>
          <w:szCs w:val="22"/>
        </w:rPr>
        <w:t xml:space="preserve">Each navigation section requires a unique axonometric icon at 16×16px display size (deliver at 32×32px for retina). Icons must be visually distinct from each other — no two sections should share the same object shape. Inactive state is the icon at 35% opacity. Active state is full opacity.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NAV SECTION</w:t>
            </w:r>
          </w:p>
        </w:tc>
        <w:tc>
          <w:tcPr>
            <w:tcW w:type="dxa" w:w="320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SUGGESTED OBJECT</w:t>
            </w:r>
          </w:p>
        </w:tc>
        <w:tc>
          <w:tcPr>
            <w:tcW w:type="dxa" w:w="3960"/>
            <w:tcBorders>
              <w:top w:val="single" w:color="DDDDDD" w:sz="1"/>
              <w:left w:val="single" w:color="DDDDDD" w:sz="1"/>
              <w:bottom w:val="single" w:color="DDDDDD" w:sz="1"/>
              <w:right w:val="single" w:color="DDDDDD" w:sz="1"/>
            </w:tcBorders>
            <w:shd w:fill="F0F0F0" w:val="clear"/>
            <w:tcMar>
              <w:top w:type="dxa" w:w="100"/>
              <w:left w:type="dxa" w:w="160"/>
              <w:bottom w:type="dxa" w:w="100"/>
              <w:right w:type="dxa" w:w="160"/>
            </w:tcMar>
          </w:tcPr>
          <w:p>
            <w:r>
              <w:rPr>
                <w:rFonts w:ascii="Courier New" w:cs="Courier New" w:eastAsia="Courier New" w:hAnsi="Courier New"/>
                <w:color w:val="888888"/>
                <w:sz w:val="16"/>
                <w:szCs w:val="16"/>
              </w:rPr>
              <w:t xml:space="preserve">RATIONALE</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My Actions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Orange particle cube on a short rail segment</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The particle IS a cube in Pathway's own language. Orange = active work.</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Dashboard</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Flat platform with two or three vertical columns rising from it</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Implies data, metrics, height — without being a generic bar chart icon</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Calendar</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A flat grid surface drawn axonometrically — like a floor plan</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Grid = time blocks. Structural, not decorative.</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Statistics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Three isometric bar columns, different heights, steel blue</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Distinct from Dashboard — these are specific measurements, not a platform</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Structure</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Two stacked steel blocks connected by a thin vertical line</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Implies hierarchy, org chart, levels — without a literal org chart tree</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Team</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Three small cubes in a row on a rail — multiple particles together</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People as particles in the same system</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Rail Management</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The full mini rail: track + one terminal block + particle mid-transit</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The most product-literal icon — this is the Rail Builder</w:t>
            </w:r>
          </w:p>
        </w:tc>
      </w:tr>
      <w:tr>
        <w:tc>
          <w:tcPr>
            <w:tcW w:type="dxa" w:w="2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color w:val="0F0F0F"/>
                <w:sz w:val="20"/>
                <w:szCs w:val="20"/>
              </w:rPr>
              <w:t xml:space="preserve">Settings</w:t>
            </w:r>
          </w:p>
        </w:tc>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333333"/>
                <w:sz w:val="20"/>
                <w:szCs w:val="20"/>
              </w:rPr>
              <w:t xml:space="preserve">A single gear or hex bolt, axonometrically drawn</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666666"/>
                <w:sz w:val="18"/>
                <w:szCs w:val="18"/>
              </w:rPr>
              <w:t xml:space="preserve">Mechanical precision — fits the engineering aesthetic</w:t>
            </w:r>
          </w:p>
        </w:tc>
      </w:tr>
    </w:tbl>
    <w:p>
      <w:pPr>
        <w:spacing w:after="120" w:before="120"/>
      </w:pPr>
    </w:p>
    <w:p>
      <w:pPr>
        <w:pStyle w:val="Heading2"/>
        <w:spacing w:after="120" w:before="320"/>
      </w:pPr>
      <w:r>
        <w:rPr>
          <w:rFonts w:ascii="Arial" w:cs="Arial" w:eastAsia="Arial" w:hAnsi="Arial"/>
          <w:b/>
          <w:bCs/>
          <w:color w:val="2A3D52"/>
          <w:sz w:val="26"/>
          <w:szCs w:val="26"/>
        </w:rPr>
        <w:t xml:space="preserve">6.3 Card Particle Icon (Priority 1)</w:t>
      </w:r>
    </w:p>
    <w:p>
      <w:pPr>
        <w:spacing w:after="60" w:before="60"/>
      </w:pPr>
      <w:r>
        <w:rPr>
          <w:rFonts w:ascii="Arial" w:cs="Arial" w:eastAsia="Arial" w:hAnsi="Arial"/>
          <w:color w:val="333333"/>
          <w:sz w:val="22"/>
          <w:szCs w:val="22"/>
        </w:rPr>
        <w:t xml:space="preserve">The axonometric cube that appears left-aligned in every cycle card. This is the most-seen illustration in the entire application — it appears on every card in every user's daily view.</w:t>
      </w:r>
    </w:p>
    <w:p>
      <w:pPr>
        <w:spacing w:after="120" w:before="80"/>
      </w:pPr>
    </w:p>
    <w:p>
      <w:pPr>
        <w:pStyle w:val="ListParagraph"/>
        <w:numPr>
          <w:ilvl w:val="0"/>
          <w:numId w:val="2"/>
        </w:numPr>
      </w:pPr>
      <w:r>
        <w:rPr>
          <w:rFonts w:ascii="Arial" w:cs="Arial" w:eastAsia="Arial" w:hAnsi="Arial"/>
          <w:color w:val="333333"/>
          <w:sz w:val="20"/>
          <w:szCs w:val="20"/>
        </w:rPr>
        <w:t xml:space="preserve">Display size: 26×26px. Deliver at 52×52px.</w:t>
      </w:r>
    </w:p>
    <w:p>
      <w:pPr>
        <w:pStyle w:val="ListParagraph"/>
        <w:numPr>
          <w:ilvl w:val="0"/>
          <w:numId w:val="2"/>
        </w:numPr>
      </w:pPr>
      <w:r>
        <w:rPr>
          <w:rFonts w:ascii="Arial" w:cs="Arial" w:eastAsia="Arial" w:hAnsi="Arial"/>
          <w:color w:val="333333"/>
          <w:sz w:val="20"/>
          <w:szCs w:val="20"/>
        </w:rPr>
        <w:t xml:space="preserve">Active variant: orange cube (F4945A / E8711A / C05A10)</w:t>
      </w:r>
    </w:p>
    <w:p>
      <w:pPr>
        <w:pStyle w:val="ListParagraph"/>
        <w:numPr>
          <w:ilvl w:val="0"/>
          <w:numId w:val="2"/>
        </w:numPr>
      </w:pPr>
      <w:r>
        <w:rPr>
          <w:rFonts w:ascii="Arial" w:cs="Arial" w:eastAsia="Arial" w:hAnsi="Arial"/>
          <w:color w:val="333333"/>
          <w:sz w:val="20"/>
          <w:szCs w:val="20"/>
        </w:rPr>
        <w:t xml:space="preserve">Queued variant: steel cube at 30% opacity (3A5068 / 2A3D52 / 1A2D3E)</w:t>
      </w:r>
    </w:p>
    <w:p>
      <w:pPr>
        <w:pStyle w:val="ListParagraph"/>
        <w:numPr>
          <w:ilvl w:val="0"/>
          <w:numId w:val="2"/>
        </w:numPr>
      </w:pPr>
      <w:r>
        <w:rPr>
          <w:rFonts w:ascii="Arial" w:cs="Arial" w:eastAsia="Arial" w:hAnsi="Arial"/>
          <w:color w:val="333333"/>
          <w:sz w:val="20"/>
          <w:szCs w:val="20"/>
        </w:rPr>
        <w:t xml:space="preserve">New variant: steel cube at 15% opacity</w:t>
      </w:r>
    </w:p>
    <w:p>
      <w:pPr>
        <w:pStyle w:val="ListParagraph"/>
        <w:numPr>
          <w:ilvl w:val="0"/>
          <w:numId w:val="2"/>
        </w:numPr>
      </w:pPr>
      <w:r>
        <w:rPr>
          <w:rFonts w:ascii="Arial" w:cs="Arial" w:eastAsia="Arial" w:hAnsi="Arial"/>
          <w:color w:val="333333"/>
          <w:sz w:val="20"/>
          <w:szCs w:val="20"/>
        </w:rPr>
        <w:t xml:space="preserve">The cube should feel like it has weight — it is a physical object, not a flat icon</w:t>
      </w:r>
    </w:p>
    <w:p>
      <w:pPr>
        <w:spacing w:after="120" w:before="120"/>
      </w:pPr>
    </w:p>
    <w:p>
      <w:pPr>
        <w:pStyle w:val="Heading2"/>
        <w:spacing w:after="120" w:before="320"/>
      </w:pPr>
      <w:r>
        <w:rPr>
          <w:rFonts w:ascii="Arial" w:cs="Arial" w:eastAsia="Arial" w:hAnsi="Arial"/>
          <w:b/>
          <w:bCs/>
          <w:color w:val="2A3D52"/>
          <w:sz w:val="26"/>
          <w:szCs w:val="26"/>
        </w:rPr>
        <w:t xml:space="preserve">6.4 Logo Mark (Priority 2)</w:t>
      </w:r>
    </w:p>
    <w:p>
      <w:pPr>
        <w:spacing w:after="60" w:before="60"/>
      </w:pPr>
      <w:r>
        <w:rPr>
          <w:rFonts w:ascii="Arial" w:cs="Arial" w:eastAsia="Arial" w:hAnsi="Arial"/>
          <w:color w:val="333333"/>
          <w:sz w:val="22"/>
          <w:szCs w:val="22"/>
        </w:rPr>
        <w:t xml:space="preserve">The Pathway logo mark has not been finalised. When designed, it should follow this direction:</w:t>
      </w:r>
    </w:p>
    <w:p>
      <w:pPr>
        <w:spacing w:after="120" w:before="80"/>
      </w:pPr>
    </w:p>
    <w:p>
      <w:pPr>
        <w:pStyle w:val="ListParagraph"/>
        <w:numPr>
          <w:ilvl w:val="0"/>
          <w:numId w:val="2"/>
        </w:numPr>
      </w:pPr>
      <w:r>
        <w:rPr>
          <w:rFonts w:ascii="Arial" w:cs="Arial" w:eastAsia="Arial" w:hAnsi="Arial"/>
          <w:color w:val="333333"/>
          <w:sz w:val="20"/>
          <w:szCs w:val="20"/>
        </w:rPr>
        <w:t xml:space="preserve">Axonometric — consistent with all other illustrations in the system</w:t>
      </w:r>
    </w:p>
    <w:p>
      <w:pPr>
        <w:pStyle w:val="ListParagraph"/>
        <w:numPr>
          <w:ilvl w:val="0"/>
          <w:numId w:val="2"/>
        </w:numPr>
      </w:pPr>
      <w:r>
        <w:rPr>
          <w:rFonts w:ascii="Arial" w:cs="Arial" w:eastAsia="Arial" w:hAnsi="Arial"/>
          <w:color w:val="333333"/>
          <w:sz w:val="20"/>
          <w:szCs w:val="20"/>
        </w:rPr>
        <w:t xml:space="preserve">Represents motion through a system — a particle on a rail, or an abstracted version of this concept</w:t>
      </w:r>
    </w:p>
    <w:p>
      <w:pPr>
        <w:pStyle w:val="ListParagraph"/>
        <w:numPr>
          <w:ilvl w:val="0"/>
          <w:numId w:val="2"/>
        </w:numPr>
      </w:pPr>
      <w:r>
        <w:rPr>
          <w:rFonts w:ascii="Arial" w:cs="Arial" w:eastAsia="Arial" w:hAnsi="Arial"/>
          <w:color w:val="333333"/>
          <w:sz w:val="20"/>
          <w:szCs w:val="20"/>
        </w:rPr>
        <w:t xml:space="preserve">Steel blue structure, orange particle — inherits the product's colour language</w:t>
      </w:r>
    </w:p>
    <w:p>
      <w:pPr>
        <w:pStyle w:val="ListParagraph"/>
        <w:numPr>
          <w:ilvl w:val="0"/>
          <w:numId w:val="2"/>
        </w:numPr>
      </w:pPr>
      <w:r>
        <w:rPr>
          <w:rFonts w:ascii="Arial" w:cs="Arial" w:eastAsia="Arial" w:hAnsi="Arial"/>
          <w:color w:val="333333"/>
          <w:sz w:val="20"/>
          <w:szCs w:val="20"/>
        </w:rPr>
        <w:t xml:space="preserve">Works at small sizes: 20×20px minimum legible size</w:t>
      </w:r>
    </w:p>
    <w:p>
      <w:pPr>
        <w:pStyle w:val="ListParagraph"/>
        <w:numPr>
          <w:ilvl w:val="0"/>
          <w:numId w:val="2"/>
        </w:numPr>
      </w:pPr>
      <w:r>
        <w:rPr>
          <w:rFonts w:ascii="Arial" w:cs="Arial" w:eastAsia="Arial" w:hAnsi="Arial"/>
          <w:color w:val="333333"/>
          <w:sz w:val="20"/>
          <w:szCs w:val="20"/>
        </w:rPr>
        <w:t xml:space="preserve">Wordmark: PATHWAY — IBM Plex Mono 600, all caps, displayed alongside the mark</w:t>
      </w:r>
    </w:p>
    <w:p>
      <w:pPr>
        <w:spacing w:after="120" w:before="120"/>
      </w:pPr>
    </w:p>
    <w:p>
      <w:pPr>
        <w:pStyle w:val="Heading2"/>
        <w:spacing w:after="120" w:before="320"/>
      </w:pPr>
      <w:r>
        <w:rPr>
          <w:rFonts w:ascii="Arial" w:cs="Arial" w:eastAsia="Arial" w:hAnsi="Arial"/>
          <w:b/>
          <w:bCs/>
          <w:color w:val="2A3D52"/>
          <w:sz w:val="26"/>
          <w:szCs w:val="26"/>
        </w:rPr>
        <w:t xml:space="preserve">6.5 Empty State (Priority 2)</w:t>
      </w:r>
    </w:p>
    <w:p>
      <w:pPr>
        <w:spacing w:after="60" w:before="60"/>
      </w:pPr>
      <w:r>
        <w:rPr>
          <w:rFonts w:ascii="Arial" w:cs="Arial" w:eastAsia="Arial" w:hAnsi="Arial"/>
          <w:color w:val="333333"/>
          <w:sz w:val="22"/>
          <w:szCs w:val="22"/>
        </w:rPr>
        <w:t xml:space="preserve">When My Actions has no cycles assigned, a larger axonometric illustration fills the content area. This is the most visible illustration after the card icon — it is what every employee sees when their queue is clear.</w:t>
      </w:r>
    </w:p>
    <w:p>
      <w:pPr>
        <w:spacing w:after="120" w:before="80"/>
      </w:pPr>
    </w:p>
    <w:p>
      <w:pPr>
        <w:pStyle w:val="ListParagraph"/>
        <w:numPr>
          <w:ilvl w:val="0"/>
          <w:numId w:val="2"/>
        </w:numPr>
      </w:pPr>
      <w:r>
        <w:rPr>
          <w:rFonts w:ascii="Arial" w:cs="Arial" w:eastAsia="Arial" w:hAnsi="Arial"/>
          <w:color w:val="333333"/>
          <w:sz w:val="20"/>
          <w:szCs w:val="20"/>
        </w:rPr>
        <w:t xml:space="preserve">Subject: the conveyor rail, idle — no particle on it. The machine is ready and waiting.</w:t>
      </w:r>
    </w:p>
    <w:p>
      <w:pPr>
        <w:pStyle w:val="ListParagraph"/>
        <w:numPr>
          <w:ilvl w:val="0"/>
          <w:numId w:val="2"/>
        </w:numPr>
      </w:pPr>
      <w:r>
        <w:rPr>
          <w:rFonts w:ascii="Arial" w:cs="Arial" w:eastAsia="Arial" w:hAnsi="Arial"/>
          <w:color w:val="333333"/>
          <w:sz w:val="20"/>
          <w:szCs w:val="20"/>
        </w:rPr>
        <w:t xml:space="preserve">Style: similar scale to the reference image. Generous white space around the illustration.</w:t>
      </w:r>
    </w:p>
    <w:p>
      <w:pPr>
        <w:pStyle w:val="ListParagraph"/>
        <w:numPr>
          <w:ilvl w:val="0"/>
          <w:numId w:val="2"/>
        </w:numPr>
      </w:pPr>
      <w:r>
        <w:rPr>
          <w:rFonts w:ascii="Arial" w:cs="Arial" w:eastAsia="Arial" w:hAnsi="Arial"/>
          <w:color w:val="333333"/>
          <w:sz w:val="20"/>
          <w:szCs w:val="20"/>
        </w:rPr>
        <w:t xml:space="preserve">Annotation: one callout label — 'NO ACTIVE CYCLES' — in IBM Plex Mono / 10px, with a leader line</w:t>
      </w:r>
    </w:p>
    <w:p>
      <w:pPr>
        <w:pStyle w:val="ListParagraph"/>
        <w:numPr>
          <w:ilvl w:val="0"/>
          <w:numId w:val="2"/>
        </w:numPr>
      </w:pPr>
      <w:r>
        <w:rPr>
          <w:rFonts w:ascii="Arial" w:cs="Arial" w:eastAsia="Arial" w:hAnsi="Arial"/>
          <w:color w:val="333333"/>
          <w:sz w:val="20"/>
          <w:szCs w:val="20"/>
        </w:rPr>
        <w:t xml:space="preserve">Dimensions: fits within a ~480×300px content area at display size</w:t>
      </w:r>
    </w:p>
    <w:p>
      <w:pPr>
        <w:spacing w:after="120" w:before="120"/>
      </w:pPr>
    </w:p>
    <w:p>
      <w:pPr>
        <w:pStyle w:val="Heading2"/>
        <w:spacing w:after="120" w:before="320"/>
      </w:pPr>
      <w:r>
        <w:rPr>
          <w:rFonts w:ascii="Arial" w:cs="Arial" w:eastAsia="Arial" w:hAnsi="Arial"/>
          <w:b/>
          <w:bCs/>
          <w:color w:val="2A3D52"/>
          <w:sz w:val="26"/>
          <w:szCs w:val="26"/>
        </w:rPr>
        <w:t xml:space="preserve">6.6 Complete &amp; Forward Moment (Priority 3)</w:t>
      </w:r>
    </w:p>
    <w:p>
      <w:pPr>
        <w:spacing w:after="60" w:before="60"/>
      </w:pPr>
      <w:r>
        <w:rPr>
          <w:rFonts w:ascii="Arial" w:cs="Arial" w:eastAsia="Arial" w:hAnsi="Arial"/>
          <w:color w:val="333333"/>
          <w:sz w:val="22"/>
          <w:szCs w:val="22"/>
        </w:rPr>
        <w:t xml:space="preserve">The most emotionally significant moment in the employee experience. When a cycle is completed and forwarded, a brief illustration shows the particle advancing down the rail to the next terminal. This could be a static illustration or a simple SVG animation.</w:t>
      </w:r>
    </w:p>
    <w:p>
      <w:pPr>
        <w:spacing w:after="120" w:before="80"/>
      </w:pPr>
    </w:p>
    <w:p>
      <w:pPr>
        <w:pStyle w:val="ListParagraph"/>
        <w:numPr>
          <w:ilvl w:val="0"/>
          <w:numId w:val="2"/>
        </w:numPr>
      </w:pPr>
      <w:r>
        <w:rPr>
          <w:rFonts w:ascii="Arial" w:cs="Arial" w:eastAsia="Arial" w:hAnsi="Arial"/>
          <w:color w:val="333333"/>
          <w:sz w:val="20"/>
          <w:szCs w:val="20"/>
        </w:rPr>
        <w:t xml:space="preserve">The particle cube moves from one terminal block to the next along the rail</w:t>
      </w:r>
    </w:p>
    <w:p>
      <w:pPr>
        <w:pStyle w:val="ListParagraph"/>
        <w:numPr>
          <w:ilvl w:val="0"/>
          <w:numId w:val="2"/>
        </w:numPr>
      </w:pPr>
      <w:r>
        <w:rPr>
          <w:rFonts w:ascii="Arial" w:cs="Arial" w:eastAsia="Arial" w:hAnsi="Arial"/>
          <w:color w:val="333333"/>
          <w:sz w:val="20"/>
          <w:szCs w:val="20"/>
        </w:rPr>
        <w:t xml:space="preserve">If animated: 400ms duration, ease-in-out, the cube slides along the rail track</w:t>
      </w:r>
    </w:p>
    <w:p>
      <w:pPr>
        <w:pStyle w:val="ListParagraph"/>
        <w:numPr>
          <w:ilvl w:val="0"/>
          <w:numId w:val="2"/>
        </w:numPr>
      </w:pPr>
      <w:r>
        <w:rPr>
          <w:rFonts w:ascii="Arial" w:cs="Arial" w:eastAsia="Arial" w:hAnsi="Arial"/>
          <w:color w:val="333333"/>
          <w:sz w:val="20"/>
          <w:szCs w:val="20"/>
        </w:rPr>
        <w:t xml:space="preserve">If static: show the cube mid-transit between two terminal blocks, with motion implied by position</w:t>
      </w:r>
    </w:p>
    <w:p>
      <w:pPr>
        <w:pStyle w:val="ListParagraph"/>
        <w:numPr>
          <w:ilvl w:val="0"/>
          <w:numId w:val="2"/>
        </w:numPr>
      </w:pPr>
      <w:r>
        <w:rPr>
          <w:rFonts w:ascii="Arial" w:cs="Arial" w:eastAsia="Arial" w:hAnsi="Arial"/>
          <w:color w:val="333333"/>
          <w:sz w:val="20"/>
          <w:szCs w:val="20"/>
        </w:rPr>
        <w:t xml:space="preserve">This appears as a full-screen overlay or a card-level transition — to be determined in implementation</w:t>
      </w:r>
    </w:p>
    <w:p>
      <w:pPr>
        <w:spacing w:after="120" w:before="200"/>
      </w:pPr>
    </w:p>
    <w:p>
      <w:pPr>
        <w:pStyle w:val="Heading1"/>
        <w:spacing w:after="160" w:before="400"/>
      </w:pPr>
      <w:r>
        <w:rPr>
          <w:rFonts w:ascii="Arial" w:cs="Arial" w:eastAsia="Arial" w:hAnsi="Arial"/>
          <w:b/>
          <w:bCs/>
          <w:color w:val="0F0F0F"/>
          <w:sz w:val="36"/>
          <w:szCs w:val="36"/>
        </w:rPr>
        <w:t xml:space="preserve">7. What Is Done vs What Remains</w:t>
      </w:r>
    </w:p>
    <w:p>
      <w:pPr>
        <w:pBdr>
          <w:bottom w:val="single" w:color="2A3D52" w:sz="6" w:space="1"/>
        </w:pBdr>
        <w:spacing w:after="0" w:before="0"/>
      </w:pPr>
    </w:p>
    <w:p>
      <w:pPr>
        <w:spacing w:after="120" w:before="80"/>
      </w:pPr>
    </w:p>
    <w:p>
      <w:pPr>
        <w:pStyle w:val="Heading2"/>
        <w:spacing w:after="120" w:before="320"/>
      </w:pPr>
      <w:r>
        <w:rPr>
          <w:rFonts w:ascii="Arial" w:cs="Arial" w:eastAsia="Arial" w:hAnsi="Arial"/>
          <w:b/>
          <w:bCs/>
          <w:color w:val="2A3D52"/>
          <w:sz w:val="26"/>
          <w:szCs w:val="26"/>
        </w:rPr>
        <w:t xml:space="preserve">7.1 Locked and Done</w:t>
      </w:r>
    </w:p>
    <w:p>
      <w:pPr>
        <w:pStyle w:val="ListParagraph"/>
        <w:numPr>
          <w:ilvl w:val="0"/>
          <w:numId w:val="2"/>
        </w:numPr>
      </w:pPr>
      <w:r>
        <w:rPr>
          <w:rFonts w:ascii="Arial" w:cs="Arial" w:eastAsia="Arial" w:hAnsi="Arial"/>
          <w:color w:val="333333"/>
          <w:sz w:val="20"/>
          <w:szCs w:val="20"/>
        </w:rPr>
        <w:t xml:space="preserve">Aesthetic direction — technical illustration, axonometric, blueprint aesthetic</w:t>
      </w:r>
    </w:p>
    <w:p>
      <w:pPr>
        <w:pStyle w:val="ListParagraph"/>
        <w:numPr>
          <w:ilvl w:val="0"/>
          <w:numId w:val="2"/>
        </w:numPr>
      </w:pPr>
      <w:r>
        <w:rPr>
          <w:rFonts w:ascii="Arial" w:cs="Arial" w:eastAsia="Arial" w:hAnsi="Arial"/>
          <w:color w:val="333333"/>
          <w:sz w:val="20"/>
          <w:szCs w:val="20"/>
        </w:rPr>
        <w:t xml:space="preserve">Colour system — three colours, semantic roles defined</w:t>
      </w:r>
    </w:p>
    <w:p>
      <w:pPr>
        <w:pStyle w:val="ListParagraph"/>
        <w:numPr>
          <w:ilvl w:val="0"/>
          <w:numId w:val="2"/>
        </w:numPr>
      </w:pPr>
      <w:r>
        <w:rPr>
          <w:rFonts w:ascii="Arial" w:cs="Arial" w:eastAsia="Arial" w:hAnsi="Arial"/>
          <w:color w:val="333333"/>
          <w:sz w:val="20"/>
          <w:szCs w:val="20"/>
        </w:rPr>
        <w:t xml:space="preserve">Typography — IBM Plex Sans + IBM Plex Mono, size scale, weight usage</w:t>
      </w:r>
    </w:p>
    <w:p>
      <w:pPr>
        <w:pStyle w:val="ListParagraph"/>
        <w:numPr>
          <w:ilvl w:val="0"/>
          <w:numId w:val="2"/>
        </w:numPr>
      </w:pPr>
      <w:r>
        <w:rPr>
          <w:rFonts w:ascii="Arial" w:cs="Arial" w:eastAsia="Arial" w:hAnsi="Arial"/>
          <w:color w:val="333333"/>
          <w:sz w:val="20"/>
          <w:szCs w:val="20"/>
        </w:rPr>
        <w:t xml:space="preserve">Card component — all three states, boundary style, icon placement, progress pips</w:t>
      </w:r>
    </w:p>
    <w:p>
      <w:pPr>
        <w:pStyle w:val="ListParagraph"/>
        <w:numPr>
          <w:ilvl w:val="0"/>
          <w:numId w:val="2"/>
        </w:numPr>
      </w:pPr>
      <w:r>
        <w:rPr>
          <w:rFonts w:ascii="Arial" w:cs="Arial" w:eastAsia="Arial" w:hAnsi="Arial"/>
          <w:color w:val="333333"/>
          <w:sz w:val="20"/>
          <w:szCs w:val="20"/>
        </w:rPr>
        <w:t xml:space="preserve">Navigation shell — sidebar structure, active/inactive states, user block</w:t>
      </w:r>
    </w:p>
    <w:p>
      <w:pPr>
        <w:spacing w:after="120" w:before="120"/>
      </w:pPr>
    </w:p>
    <w:p>
      <w:pPr>
        <w:pStyle w:val="Heading2"/>
        <w:spacing w:after="120" w:before="320"/>
      </w:pPr>
      <w:r>
        <w:rPr>
          <w:rFonts w:ascii="Arial" w:cs="Arial" w:eastAsia="Arial" w:hAnsi="Arial"/>
          <w:b/>
          <w:bCs/>
          <w:color w:val="2A3D52"/>
          <w:sz w:val="26"/>
          <w:szCs w:val="26"/>
        </w:rPr>
        <w:t xml:space="preserve">7.2 Needs Illustrator</w:t>
      </w:r>
    </w:p>
    <w:p>
      <w:pPr>
        <w:pStyle w:val="ListParagraph"/>
        <w:numPr>
          <w:ilvl w:val="0"/>
          <w:numId w:val="2"/>
        </w:numPr>
      </w:pPr>
      <w:r>
        <w:rPr>
          <w:rFonts w:ascii="Arial" w:cs="Arial" w:eastAsia="Arial" w:hAnsi="Arial"/>
          <w:color w:val="333333"/>
          <w:sz w:val="20"/>
          <w:szCs w:val="20"/>
        </w:rPr>
        <w:t xml:space="preserve">All navigation icons (8 icons, Section 6.2)</w:t>
      </w:r>
    </w:p>
    <w:p>
      <w:pPr>
        <w:pStyle w:val="ListParagraph"/>
        <w:numPr>
          <w:ilvl w:val="0"/>
          <w:numId w:val="2"/>
        </w:numPr>
      </w:pPr>
      <w:r>
        <w:rPr>
          <w:rFonts w:ascii="Arial" w:cs="Arial" w:eastAsia="Arial" w:hAnsi="Arial"/>
          <w:color w:val="333333"/>
          <w:sz w:val="20"/>
          <w:szCs w:val="20"/>
        </w:rPr>
        <w:t xml:space="preserve">Card particle icon — refined version (Section 6.3)</w:t>
      </w:r>
    </w:p>
    <w:p>
      <w:pPr>
        <w:pStyle w:val="ListParagraph"/>
        <w:numPr>
          <w:ilvl w:val="0"/>
          <w:numId w:val="2"/>
        </w:numPr>
      </w:pPr>
      <w:r>
        <w:rPr>
          <w:rFonts w:ascii="Arial" w:cs="Arial" w:eastAsia="Arial" w:hAnsi="Arial"/>
          <w:color w:val="333333"/>
          <w:sz w:val="20"/>
          <w:szCs w:val="20"/>
        </w:rPr>
        <w:t xml:space="preserve">Logo mark (Section 6.4)</w:t>
      </w:r>
    </w:p>
    <w:p>
      <w:pPr>
        <w:pStyle w:val="ListParagraph"/>
        <w:numPr>
          <w:ilvl w:val="0"/>
          <w:numId w:val="2"/>
        </w:numPr>
      </w:pPr>
      <w:r>
        <w:rPr>
          <w:rFonts w:ascii="Arial" w:cs="Arial" w:eastAsia="Arial" w:hAnsi="Arial"/>
          <w:color w:val="333333"/>
          <w:sz w:val="20"/>
          <w:szCs w:val="20"/>
        </w:rPr>
        <w:t xml:space="preserve">Empty state illustration (Section 6.5)</w:t>
      </w:r>
    </w:p>
    <w:p>
      <w:pPr>
        <w:pStyle w:val="ListParagraph"/>
        <w:numPr>
          <w:ilvl w:val="0"/>
          <w:numId w:val="2"/>
        </w:numPr>
      </w:pPr>
      <w:r>
        <w:rPr>
          <w:rFonts w:ascii="Arial" w:cs="Arial" w:eastAsia="Arial" w:hAnsi="Arial"/>
          <w:color w:val="333333"/>
          <w:sz w:val="20"/>
          <w:szCs w:val="20"/>
        </w:rPr>
        <w:t xml:space="preserve">Complete &amp; Forward transition (Section 6.6)</w:t>
      </w:r>
    </w:p>
    <w:p>
      <w:pPr>
        <w:spacing w:after="120" w:before="120"/>
      </w:pPr>
    </w:p>
    <w:p>
      <w:pPr>
        <w:pStyle w:val="Heading2"/>
        <w:spacing w:after="120" w:before="320"/>
      </w:pPr>
      <w:r>
        <w:rPr>
          <w:rFonts w:ascii="Arial" w:cs="Arial" w:eastAsia="Arial" w:hAnsi="Arial"/>
          <w:b/>
          <w:bCs/>
          <w:color w:val="2A3D52"/>
          <w:sz w:val="26"/>
          <w:szCs w:val="26"/>
        </w:rPr>
        <w:t xml:space="preserve">7.3 Screens Not Yet Designed</w:t>
      </w:r>
    </w:p>
    <w:p>
      <w:pPr>
        <w:pStyle w:val="ListParagraph"/>
        <w:numPr>
          <w:ilvl w:val="0"/>
          <w:numId w:val="2"/>
        </w:numPr>
      </w:pPr>
      <w:r>
        <w:rPr>
          <w:rFonts w:ascii="Arial" w:cs="Arial" w:eastAsia="Arial" w:hAnsi="Arial"/>
          <w:color w:val="333333"/>
          <w:sz w:val="20"/>
          <w:szCs w:val="20"/>
        </w:rPr>
        <w:t xml:space="preserve">Manager Dashboard — control room view</w:t>
      </w:r>
    </w:p>
    <w:p>
      <w:pPr>
        <w:pStyle w:val="ListParagraph"/>
        <w:numPr>
          <w:ilvl w:val="0"/>
          <w:numId w:val="2"/>
        </w:numPr>
      </w:pPr>
      <w:r>
        <w:rPr>
          <w:rFonts w:ascii="Arial" w:cs="Arial" w:eastAsia="Arial" w:hAnsi="Arial"/>
          <w:color w:val="333333"/>
          <w:sz w:val="20"/>
          <w:szCs w:val="20"/>
        </w:rPr>
        <w:t xml:space="preserve">Executive Dashboard — aerial company view</w:t>
      </w:r>
    </w:p>
    <w:p>
      <w:pPr>
        <w:pStyle w:val="ListParagraph"/>
        <w:numPr>
          <w:ilvl w:val="0"/>
          <w:numId w:val="2"/>
        </w:numPr>
      </w:pPr>
      <w:r>
        <w:rPr>
          <w:rFonts w:ascii="Arial" w:cs="Arial" w:eastAsia="Arial" w:hAnsi="Arial"/>
          <w:color w:val="333333"/>
          <w:sz w:val="20"/>
          <w:szCs w:val="20"/>
        </w:rPr>
        <w:t xml:space="preserve">Rail Builder canvas — architect surface</w:t>
      </w:r>
    </w:p>
    <w:p>
      <w:pPr>
        <w:pStyle w:val="ListParagraph"/>
        <w:numPr>
          <w:ilvl w:val="0"/>
          <w:numId w:val="2"/>
        </w:numPr>
      </w:pPr>
      <w:r>
        <w:rPr>
          <w:rFonts w:ascii="Arial" w:cs="Arial" w:eastAsia="Arial" w:hAnsi="Arial"/>
          <w:color w:val="333333"/>
          <w:sz w:val="20"/>
          <w:szCs w:val="20"/>
        </w:rPr>
        <w:t xml:space="preserve">Cycle detail view — the open card with steps and manifest</w:t>
      </w:r>
    </w:p>
    <w:p>
      <w:pPr>
        <w:pStyle w:val="ListParagraph"/>
        <w:numPr>
          <w:ilvl w:val="0"/>
          <w:numId w:val="2"/>
        </w:numPr>
      </w:pPr>
      <w:r>
        <w:rPr>
          <w:rFonts w:ascii="Arial" w:cs="Arial" w:eastAsia="Arial" w:hAnsi="Arial"/>
          <w:color w:val="333333"/>
          <w:sz w:val="20"/>
          <w:szCs w:val="20"/>
        </w:rPr>
        <w:t xml:space="preserve">Onboarding / splash screen</w:t>
      </w:r>
    </w:p>
    <w:p>
      <w:pPr>
        <w:spacing w:after="120" w:before="200"/>
      </w:pPr>
    </w:p>
    <w:p>
      <w:pPr>
        <w:pBdr>
          <w:bottom w:val="single" w:color="EEEEEE" w:sz="6" w:space="1"/>
        </w:pBdr>
        <w:spacing w:after="0" w:before="0"/>
      </w:pPr>
    </w:p>
    <w:p>
      <w:pPr>
        <w:spacing w:after="120" w:before="80"/>
      </w:pPr>
    </w:p>
    <w:p>
      <w:pPr>
        <w:spacing w:after="0" w:before="0"/>
        <w:jc w:val="left"/>
      </w:pPr>
      <w:r>
        <w:rPr>
          <w:rFonts w:ascii="Courier New" w:cs="Courier New" w:eastAsia="Courier New" w:hAnsi="Courier New"/>
          <w:color w:val="BBBBBB"/>
          <w:sz w:val="16"/>
          <w:szCs w:val="16"/>
        </w:rPr>
        <w:t xml:space="preserve">PATHWAY SYSTEMS  ·  UI DESIGN SPEC v1.0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rPr>
        <w:rFonts w:ascii="Arial" w:cs="Arial" w:eastAsia="Arial" w:hAnsi="Arial"/>
        <w:color w:val="333333"/>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0F0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A3D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2026-05-08T21:04:27.543Z</dcterms:created>
  <dcterms:modified xsi:type="dcterms:W3CDTF">2026-05-08T21:04:27.543Z</dcterms:modified>
</cp:coreProperties>
</file>

<file path=docProps/custom.xml><?xml version="1.0" encoding="utf-8"?>
<Properties xmlns="http://schemas.openxmlformats.org/officeDocument/2006/custom-properties" xmlns:vt="http://schemas.openxmlformats.org/officeDocument/2006/docPropsVTypes"/>
</file>