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00" w:before="0" w:line="329.1428571428571" w:lineRule="auto"/>
        <w:contextualSpacing w:val="0"/>
        <w:rPr>
          <w:i w:val="1"/>
          <w:color w:val="505050"/>
          <w:sz w:val="35"/>
          <w:szCs w:val="35"/>
        </w:rPr>
      </w:pPr>
      <w:bookmarkStart w:colFirst="0" w:colLast="0" w:name="_susmitr6dwxt" w:id="0"/>
      <w:bookmarkEnd w:id="0"/>
      <w:r w:rsidDel="00000000" w:rsidR="00000000" w:rsidRPr="00000000">
        <w:rPr>
          <w:i w:val="1"/>
          <w:color w:val="505050"/>
          <w:sz w:val="35"/>
          <w:szCs w:val="35"/>
          <w:rtl w:val="0"/>
        </w:rPr>
        <w:t xml:space="preserve">Identifying balance impairments in people with Parkinson’s disease using video and wearable sensors</w:t>
      </w:r>
    </w:p>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180" w:line="257.14285714285717" w:lineRule="auto"/>
        <w:contextualSpacing w:val="0"/>
        <w:rPr>
          <w:i w:val="1"/>
          <w:color w:val="505050"/>
          <w:sz w:val="24"/>
          <w:szCs w:val="24"/>
        </w:rPr>
      </w:pPr>
      <w:bookmarkStart w:colFirst="0" w:colLast="0" w:name="_z4yozjx6uq60" w:id="1"/>
      <w:bookmarkEnd w:id="1"/>
      <w:r w:rsidDel="00000000" w:rsidR="00000000" w:rsidRPr="00000000">
        <w:rPr>
          <w:i w:val="1"/>
          <w:color w:val="505050"/>
          <w:sz w:val="24"/>
          <w:szCs w:val="24"/>
          <w:rtl w:val="0"/>
        </w:rPr>
        <w:t xml:space="preserve">https://www.sciencedirect.com/science/article/pii/S096663621830287X</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180" w:line="257.14285714285717" w:lineRule="auto"/>
        <w:contextualSpacing w:val="0"/>
        <w:rPr>
          <w:color w:val="505050"/>
          <w:sz w:val="24"/>
          <w:szCs w:val="24"/>
        </w:rPr>
      </w:pPr>
      <w:bookmarkStart w:colFirst="0" w:colLast="0" w:name="_1weekv6kcqpr" w:id="2"/>
      <w:bookmarkEnd w:id="2"/>
      <w:r w:rsidDel="00000000" w:rsidR="00000000" w:rsidRPr="00000000">
        <w:rPr>
          <w:color w:val="505050"/>
          <w:sz w:val="24"/>
          <w:szCs w:val="24"/>
          <w:rtl w:val="0"/>
        </w:rPr>
        <w:t xml:space="preserve">Results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505050"/>
          <w:sz w:val="24"/>
          <w:szCs w:val="24"/>
        </w:rPr>
      </w:pPr>
      <w:r w:rsidDel="00000000" w:rsidR="00000000" w:rsidRPr="00000000">
        <w:rPr>
          <w:color w:val="505050"/>
          <w:sz w:val="24"/>
          <w:szCs w:val="24"/>
          <w:rtl w:val="0"/>
        </w:rPr>
        <w:t xml:space="preserve">Data was available for 117 performances: 82 (70%) appeared stable on video. Ratings agreed in 86/117 cases (74%). Highest agreement was noted for chair transfer, </w:t>
      </w:r>
      <w:hyperlink r:id="rId6">
        <w:r w:rsidDel="00000000" w:rsidR="00000000" w:rsidRPr="00000000">
          <w:rPr>
            <w:color w:val="007398"/>
            <w:sz w:val="24"/>
            <w:szCs w:val="24"/>
            <w:u w:val="single"/>
            <w:rtl w:val="0"/>
          </w:rPr>
          <w:t xml:space="preserve">timed up and go test</w:t>
        </w:r>
      </w:hyperlink>
      <w:r w:rsidDel="00000000" w:rsidR="00000000" w:rsidRPr="00000000">
        <w:rPr>
          <w:color w:val="505050"/>
          <w:sz w:val="24"/>
          <w:szCs w:val="24"/>
          <w:rtl w:val="0"/>
        </w:rPr>
        <w:t xml:space="preserve"> and 3 m walks. Video analysts noted caution (slow, contained movements, safety-enhancing </w:t>
      </w:r>
      <w:hyperlink r:id="rId7">
        <w:r w:rsidDel="00000000" w:rsidR="00000000" w:rsidRPr="00000000">
          <w:rPr>
            <w:color w:val="007398"/>
            <w:sz w:val="24"/>
            <w:szCs w:val="24"/>
            <w:u w:val="single"/>
            <w:rtl w:val="0"/>
          </w:rPr>
          <w:t xml:space="preserve">postures</w:t>
        </w:r>
      </w:hyperlink>
      <w:r w:rsidDel="00000000" w:rsidR="00000000" w:rsidRPr="00000000">
        <w:rPr>
          <w:color w:val="505050"/>
          <w:sz w:val="24"/>
          <w:szCs w:val="24"/>
          <w:rtl w:val="0"/>
        </w:rPr>
        <w:t xml:space="preserve"> and concentration) and/or instability (saving reactions, stopping after stumbling or veering) in 40/134 performances (30%): raw wearable sensor data identified 16/35 performances rated cautious or unstable (sensitivity 46%) and 70/82 rated stable (specificity 85%). There was a 54% chance that a performance identified from wearable sensors as cautious/unstable was so; rising to 80% for stable movements.</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180" w:line="257.14285714285717" w:lineRule="auto"/>
        <w:contextualSpacing w:val="0"/>
        <w:rPr>
          <w:color w:val="505050"/>
          <w:sz w:val="24"/>
          <w:szCs w:val="24"/>
        </w:rPr>
      </w:pPr>
      <w:bookmarkStart w:colFirst="0" w:colLast="0" w:name="_q5x1dcsjp2u0" w:id="3"/>
      <w:bookmarkEnd w:id="3"/>
      <w:r w:rsidDel="00000000" w:rsidR="00000000" w:rsidRPr="00000000">
        <w:rPr>
          <w:color w:val="505050"/>
          <w:sz w:val="24"/>
          <w:szCs w:val="24"/>
          <w:rtl w:val="0"/>
        </w:rPr>
        <w:t xml:space="preserve">Significance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505050"/>
          <w:sz w:val="24"/>
          <w:szCs w:val="24"/>
        </w:rPr>
      </w:pPr>
      <w:r w:rsidDel="00000000" w:rsidR="00000000" w:rsidRPr="00000000">
        <w:rPr>
          <w:color w:val="505050"/>
          <w:sz w:val="24"/>
          <w:szCs w:val="24"/>
          <w:highlight w:val="yellow"/>
          <w:rtl w:val="0"/>
        </w:rPr>
        <w:t xml:space="preserve">Agreement between wearable sensor and video data suggested that wearable sensors can detect subtle instability and near-falls</w:t>
      </w:r>
      <w:r w:rsidDel="00000000" w:rsidR="00000000" w:rsidRPr="00000000">
        <w:rPr>
          <w:color w:val="505050"/>
          <w:sz w:val="24"/>
          <w:szCs w:val="24"/>
          <w:rtl w:val="0"/>
        </w:rPr>
        <w:t xml:space="preserve">. Caution and instability were observed in nearly a third of performances, suggesting that simple, mildly challenging actions, with clearly defined start- and end-points, may be most amenable to monitoring during free-living at home. Using the genuine near-falls recorded, work continues to automatically detect subtle instability using algorithms.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505050"/>
          <w:sz w:val="24"/>
          <w:szCs w:val="24"/>
        </w:rPr>
      </w:pPr>
      <w:r w:rsidDel="00000000" w:rsidR="00000000" w:rsidRPr="00000000">
        <w:rPr>
          <w:rtl w:val="0"/>
        </w:rPr>
      </w:r>
    </w:p>
    <w:p w:rsidR="00000000" w:rsidDel="00000000" w:rsidP="00000000" w:rsidRDefault="00000000" w:rsidRPr="00000000" w14:paraId="0000000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00" w:before="0" w:line="329.1428571428571" w:lineRule="auto"/>
        <w:contextualSpacing w:val="0"/>
        <w:rPr>
          <w:i w:val="1"/>
          <w:color w:val="505050"/>
          <w:sz w:val="35"/>
          <w:szCs w:val="35"/>
        </w:rPr>
      </w:pPr>
      <w:bookmarkStart w:colFirst="0" w:colLast="0" w:name="_si0kptokctj1" w:id="4"/>
      <w:bookmarkEnd w:id="4"/>
      <w:r w:rsidDel="00000000" w:rsidR="00000000" w:rsidRPr="00000000">
        <w:rPr>
          <w:i w:val="1"/>
          <w:color w:val="505050"/>
          <w:sz w:val="35"/>
          <w:szCs w:val="35"/>
          <w:rtl w:val="0"/>
        </w:rPr>
        <w:t xml:space="preserve">Wearable strain sensors based on electrically conductive natural fiber yarns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i w:val="1"/>
          <w:color w:val="505050"/>
          <w:sz w:val="24"/>
          <w:szCs w:val="24"/>
        </w:rPr>
      </w:pPr>
      <w:r w:rsidDel="00000000" w:rsidR="00000000" w:rsidRPr="00000000">
        <w:rPr>
          <w:i w:val="1"/>
          <w:color w:val="505050"/>
          <w:sz w:val="24"/>
          <w:szCs w:val="24"/>
          <w:rtl w:val="0"/>
        </w:rPr>
        <w:t xml:space="preserve">https://www.sciencedirect.com/science/article/pii/S0264127518304222</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505050"/>
          <w:sz w:val="24"/>
          <w:szCs w:val="24"/>
        </w:rPr>
      </w:pPr>
      <w:r w:rsidDel="00000000" w:rsidR="00000000" w:rsidRPr="00000000">
        <w:rPr>
          <w:rtl w:val="0"/>
        </w:rPr>
      </w:r>
    </w:p>
    <w:p w:rsidR="00000000" w:rsidDel="00000000" w:rsidP="00000000" w:rsidRDefault="00000000" w:rsidRPr="00000000" w14:paraId="0000000A">
      <w:pPr>
        <w:contextualSpacing w:val="0"/>
        <w:rPr>
          <w:color w:val="505050"/>
          <w:sz w:val="24"/>
          <w:szCs w:val="24"/>
        </w:rPr>
      </w:pPr>
      <w:r w:rsidDel="00000000" w:rsidR="00000000" w:rsidRPr="00000000">
        <w:rPr>
          <w:color w:val="505050"/>
          <w:sz w:val="24"/>
          <w:szCs w:val="24"/>
          <w:rtl w:val="0"/>
        </w:rPr>
        <w:t xml:space="preserve">Herein, we report a systematic study on the fabrication of electrically conductive yarns made of </w:t>
      </w:r>
      <w:hyperlink r:id="rId8">
        <w:r w:rsidDel="00000000" w:rsidR="00000000" w:rsidRPr="00000000">
          <w:rPr>
            <w:color w:val="007398"/>
            <w:sz w:val="24"/>
            <w:szCs w:val="24"/>
            <w:u w:val="single"/>
            <w:rtl w:val="0"/>
          </w:rPr>
          <w:t xml:space="preserve">natural fiber</w:t>
        </w:r>
      </w:hyperlink>
      <w:r w:rsidDel="00000000" w:rsidR="00000000" w:rsidRPr="00000000">
        <w:rPr>
          <w:color w:val="505050"/>
          <w:sz w:val="24"/>
          <w:szCs w:val="24"/>
          <w:rtl w:val="0"/>
        </w:rPr>
        <w:t xml:space="preserve"> yarns coated with </w:t>
      </w:r>
      <w:hyperlink r:id="rId9">
        <w:r w:rsidDel="00000000" w:rsidR="00000000" w:rsidRPr="00000000">
          <w:rPr>
            <w:color w:val="007398"/>
            <w:sz w:val="24"/>
            <w:szCs w:val="24"/>
            <w:u w:val="single"/>
            <w:rtl w:val="0"/>
          </w:rPr>
          <w:t xml:space="preserve">graphene</w:t>
        </w:r>
      </w:hyperlink>
      <w:r w:rsidDel="00000000" w:rsidR="00000000" w:rsidRPr="00000000">
        <w:rPr>
          <w:color w:val="505050"/>
          <w:sz w:val="24"/>
          <w:szCs w:val="24"/>
          <w:rtl w:val="0"/>
        </w:rPr>
        <w:t xml:space="preserve"> nanoplatelets (GNPs) and carbon black (CB). The highly conductive yarns are then utilized to fabricate wearable, stretchable, and durable </w:t>
      </w:r>
      <w:hyperlink r:id="rId10">
        <w:r w:rsidDel="00000000" w:rsidR="00000000" w:rsidRPr="00000000">
          <w:rPr>
            <w:color w:val="007398"/>
            <w:sz w:val="24"/>
            <w:szCs w:val="24"/>
            <w:u w:val="single"/>
            <w:rtl w:val="0"/>
          </w:rPr>
          <w:t xml:space="preserve">strain</w:t>
        </w:r>
      </w:hyperlink>
      <w:r w:rsidDel="00000000" w:rsidR="00000000" w:rsidRPr="00000000">
        <w:rPr>
          <w:color w:val="505050"/>
          <w:sz w:val="24"/>
          <w:szCs w:val="24"/>
          <w:rtl w:val="0"/>
        </w:rPr>
        <w:t xml:space="preserve"> sensors. Our strain sensors demonstrate a good sensitivity with gauge factors (GFs) in the range of 1.46 to 5.62, depending on the magnitude of the applied strain and displacement rate. The strain sensors show reliable electromechanical response to strains as large as 60%, suggesting their potential application in human motion detection. They can successfully detect a range of human movements, such as finger, wrist, and knee joint movements, pronunciation, breathing, and swallowing. </w:t>
      </w:r>
    </w:p>
    <w:p w:rsidR="00000000" w:rsidDel="00000000" w:rsidP="00000000" w:rsidRDefault="00000000" w:rsidRPr="00000000" w14:paraId="0000000B">
      <w:pPr>
        <w:contextualSpacing w:val="0"/>
        <w:rPr>
          <w:color w:val="505050"/>
          <w:sz w:val="24"/>
          <w:szCs w:val="24"/>
        </w:rPr>
      </w:pPr>
      <w:r w:rsidDel="00000000" w:rsidR="00000000" w:rsidRPr="00000000">
        <w:rPr>
          <w:rtl w:val="0"/>
        </w:rPr>
      </w:r>
    </w:p>
    <w:p w:rsidR="00000000" w:rsidDel="00000000" w:rsidP="00000000" w:rsidRDefault="00000000" w:rsidRPr="00000000" w14:paraId="0000000C">
      <w:pPr>
        <w:contextualSpacing w:val="0"/>
        <w:rPr>
          <w:color w:val="505050"/>
          <w:sz w:val="24"/>
          <w:szCs w:val="24"/>
        </w:rPr>
      </w:pPr>
      <w:r w:rsidDel="00000000" w:rsidR="00000000" w:rsidRPr="00000000">
        <w:rPr>
          <w:rtl w:val="0"/>
        </w:rPr>
      </w:r>
    </w:p>
    <w:p w:rsidR="00000000" w:rsidDel="00000000" w:rsidP="00000000" w:rsidRDefault="00000000" w:rsidRPr="00000000" w14:paraId="0000000D">
      <w:pPr>
        <w:contextualSpacing w:val="0"/>
        <w:rPr>
          <w:color w:val="505050"/>
          <w:sz w:val="24"/>
          <w:szCs w:val="24"/>
        </w:rPr>
      </w:pPr>
      <w:r w:rsidDel="00000000" w:rsidR="00000000" w:rsidRPr="00000000">
        <w:rPr>
          <w:color w:val="505050"/>
          <w:sz w:val="24"/>
          <w:szCs w:val="24"/>
          <w:rtl w:val="0"/>
        </w:rPr>
        <w:tab/>
        <w:tab/>
        <w:t xml:space="preserve"> </w:t>
        <w:tab/>
        <w:t xml:space="preserve"> </w:t>
        <w:tab/>
        <w:t xml:space="preserve"> </w:t>
        <w:tab/>
        <w:tab/>
      </w:r>
    </w:p>
    <w:p w:rsidR="00000000" w:rsidDel="00000000" w:rsidP="00000000" w:rsidRDefault="00000000" w:rsidRPr="00000000" w14:paraId="0000000E">
      <w:pPr>
        <w:contextualSpacing w:val="0"/>
        <w:rPr>
          <w:color w:val="505050"/>
          <w:sz w:val="24"/>
          <w:szCs w:val="24"/>
        </w:rPr>
      </w:pPr>
      <w:r w:rsidDel="00000000" w:rsidR="00000000" w:rsidRPr="00000000">
        <w:rPr>
          <w:color w:val="505050"/>
          <w:sz w:val="24"/>
          <w:szCs w:val="24"/>
          <w:rtl w:val="0"/>
        </w:rPr>
        <w:tab/>
        <w:tab/>
        <w:tab/>
      </w:r>
    </w:p>
    <w:p w:rsidR="00000000" w:rsidDel="00000000" w:rsidP="00000000" w:rsidRDefault="00000000" w:rsidRPr="00000000" w14:paraId="0000000F">
      <w:pPr>
        <w:contextualSpacing w:val="0"/>
        <w:rPr>
          <w:color w:val="505050"/>
          <w:sz w:val="24"/>
          <w:szCs w:val="24"/>
        </w:rPr>
      </w:pPr>
      <w:r w:rsidDel="00000000" w:rsidR="00000000" w:rsidRPr="00000000">
        <w:rPr>
          <w:color w:val="505050"/>
          <w:sz w:val="24"/>
          <w:szCs w:val="24"/>
          <w:rtl w:val="0"/>
        </w:rPr>
        <w:tab/>
        <w:tab/>
        <w:tab/>
        <w:tab/>
      </w:r>
    </w:p>
    <w:p w:rsidR="00000000" w:rsidDel="00000000" w:rsidP="00000000" w:rsidRDefault="00000000" w:rsidRPr="00000000" w14:paraId="00000010">
      <w:pPr>
        <w:contextualSpacing w:val="0"/>
        <w:rPr>
          <w:color w:val="505050"/>
          <w:sz w:val="24"/>
          <w:szCs w:val="24"/>
        </w:rPr>
      </w:pPr>
      <w:r w:rsidDel="00000000" w:rsidR="00000000" w:rsidRPr="00000000">
        <w:rPr>
          <w:color w:val="505050"/>
          <w:sz w:val="24"/>
          <w:szCs w:val="24"/>
          <w:rtl w:val="0"/>
        </w:rPr>
        <w:tab/>
        <w:tab/>
        <w:tab/>
        <w:tab/>
        <w:tab/>
      </w:r>
    </w:p>
    <w:p w:rsidR="00000000" w:rsidDel="00000000" w:rsidP="00000000" w:rsidRDefault="00000000" w:rsidRPr="00000000" w14:paraId="00000011">
      <w:pPr>
        <w:contextualSpacing w:val="0"/>
        <w:rPr>
          <w:color w:val="505050"/>
          <w:sz w:val="24"/>
          <w:szCs w:val="24"/>
        </w:rPr>
      </w:pPr>
      <w:r w:rsidDel="00000000" w:rsidR="00000000" w:rsidRPr="00000000">
        <w:rPr>
          <w:color w:val="505050"/>
          <w:sz w:val="24"/>
          <w:szCs w:val="24"/>
          <w:rtl w:val="0"/>
        </w:rPr>
        <w:tab/>
        <w:tab/>
        <w:tab/>
        <w:tab/>
        <w:tab/>
        <w:tab/>
      </w:r>
    </w:p>
    <w:p w:rsidR="00000000" w:rsidDel="00000000" w:rsidP="00000000" w:rsidRDefault="00000000" w:rsidRPr="00000000" w14:paraId="00000012">
      <w:pPr>
        <w:contextualSpacing w:val="0"/>
        <w:rPr>
          <w:b w:val="1"/>
          <w:color w:val="505050"/>
          <w:sz w:val="32"/>
          <w:szCs w:val="32"/>
        </w:rPr>
      </w:pPr>
      <w:r w:rsidDel="00000000" w:rsidR="00000000" w:rsidRPr="00000000">
        <w:rPr>
          <w:b w:val="1"/>
          <w:color w:val="505050"/>
          <w:sz w:val="32"/>
          <w:szCs w:val="32"/>
          <w:rtl w:val="0"/>
        </w:rPr>
        <w:t xml:space="preserve">Recognition of Military-Specific Physical Activities With Body-Fixed Sensors</w:t>
      </w:r>
    </w:p>
    <w:p w:rsidR="00000000" w:rsidDel="00000000" w:rsidP="00000000" w:rsidRDefault="00000000" w:rsidRPr="00000000" w14:paraId="00000013">
      <w:pPr>
        <w:contextualSpacing w:val="0"/>
        <w:rPr>
          <w:color w:val="505050"/>
          <w:sz w:val="24"/>
          <w:szCs w:val="24"/>
        </w:rPr>
      </w:pPr>
      <w:r w:rsidDel="00000000" w:rsidR="00000000" w:rsidRPr="00000000">
        <w:rPr>
          <w:color w:val="505050"/>
          <w:sz w:val="24"/>
          <w:szCs w:val="24"/>
          <w:rtl w:val="0"/>
        </w:rPr>
        <w:tab/>
        <w:tab/>
        <w:tab/>
        <w:tab/>
        <w:tab/>
      </w:r>
    </w:p>
    <w:p w:rsidR="00000000" w:rsidDel="00000000" w:rsidP="00000000" w:rsidRDefault="00000000" w:rsidRPr="00000000" w14:paraId="00000014">
      <w:pPr>
        <w:contextualSpacing w:val="0"/>
        <w:rPr>
          <w:color w:val="505050"/>
          <w:sz w:val="24"/>
          <w:szCs w:val="24"/>
        </w:rPr>
      </w:pPr>
      <w:r w:rsidDel="00000000" w:rsidR="00000000" w:rsidRPr="00000000">
        <w:rPr>
          <w:color w:val="505050"/>
          <w:sz w:val="24"/>
          <w:szCs w:val="24"/>
          <w:rtl w:val="0"/>
        </w:rPr>
        <w:tab/>
        <w:tab/>
        <w:tab/>
        <w:tab/>
        <w:tab/>
        <w:tab/>
      </w:r>
    </w:p>
    <w:p w:rsidR="00000000" w:rsidDel="00000000" w:rsidP="00000000" w:rsidRDefault="00000000" w:rsidRPr="00000000" w14:paraId="00000015">
      <w:pPr>
        <w:contextualSpacing w:val="0"/>
        <w:rPr>
          <w:i w:val="1"/>
          <w:color w:val="505050"/>
        </w:rPr>
      </w:pPr>
      <w:r w:rsidDel="00000000" w:rsidR="00000000" w:rsidRPr="00000000">
        <w:rPr>
          <w:i w:val="1"/>
          <w:color w:val="505050"/>
          <w:rtl w:val="0"/>
        </w:rPr>
        <w:t xml:space="preserve">Thomas Wyss, MSc; Urs Mäder, PhD</w:t>
      </w:r>
    </w:p>
    <w:p w:rsidR="00000000" w:rsidDel="00000000" w:rsidP="00000000" w:rsidRDefault="00000000" w:rsidRPr="00000000" w14:paraId="00000016">
      <w:pPr>
        <w:contextualSpacing w:val="0"/>
        <w:rPr>
          <w:color w:val="505050"/>
          <w:sz w:val="24"/>
          <w:szCs w:val="24"/>
        </w:rPr>
      </w:pPr>
      <w:r w:rsidDel="00000000" w:rsidR="00000000" w:rsidRPr="00000000">
        <w:rPr>
          <w:color w:val="505050"/>
          <w:sz w:val="24"/>
          <w:szCs w:val="24"/>
          <w:rtl w:val="0"/>
        </w:rPr>
        <w:tab/>
        <w:tab/>
        <w:tab/>
        <w:tab/>
        <w:tab/>
      </w:r>
    </w:p>
    <w:p w:rsidR="00000000" w:rsidDel="00000000" w:rsidP="00000000" w:rsidRDefault="00000000" w:rsidRPr="00000000" w14:paraId="00000017">
      <w:pPr>
        <w:contextualSpacing w:val="0"/>
        <w:rPr>
          <w:color w:val="505050"/>
          <w:sz w:val="24"/>
          <w:szCs w:val="24"/>
        </w:rPr>
      </w:pPr>
      <w:r w:rsidDel="00000000" w:rsidR="00000000" w:rsidRPr="00000000">
        <w:rPr>
          <w:rtl w:val="0"/>
        </w:rPr>
      </w:r>
    </w:p>
    <w:p w:rsidR="00000000" w:rsidDel="00000000" w:rsidP="00000000" w:rsidRDefault="00000000" w:rsidRPr="00000000" w14:paraId="00000018">
      <w:pPr>
        <w:contextualSpacing w:val="0"/>
        <w:rPr>
          <w:color w:val="505050"/>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ciencedirect.com/topics/materials-science/strain" TargetMode="External"/><Relationship Id="rId9" Type="http://schemas.openxmlformats.org/officeDocument/2006/relationships/hyperlink" Target="https://www.sciencedirect.com/topics/materials-science/graphene" TargetMode="External"/><Relationship Id="rId5" Type="http://schemas.openxmlformats.org/officeDocument/2006/relationships/styles" Target="styles.xml"/><Relationship Id="rId6" Type="http://schemas.openxmlformats.org/officeDocument/2006/relationships/hyperlink" Target="https://www.sciencedirect.com/topics/medicine-and-dentistry/timed-up-and-go-test" TargetMode="External"/><Relationship Id="rId7" Type="http://schemas.openxmlformats.org/officeDocument/2006/relationships/hyperlink" Target="https://www.sciencedirect.com/topics/medicine-and-dentistry/posture" TargetMode="External"/><Relationship Id="rId8" Type="http://schemas.openxmlformats.org/officeDocument/2006/relationships/hyperlink" Target="https://www.sciencedirect.com/topics/materials-science/natural-fi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