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20955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B8942E"/>
          <w:spacing w:val="20"/>
          <w:sz w:val="20"/>
          <w:szCs w:val="20"/>
        </w:rPr>
        <w:t xml:space="preserve">SAFETY FILE DOCUMENT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C"/>
          <w:sz w:val="44"/>
          <w:szCs w:val="44"/>
        </w:rPr>
        <w:t xml:space="preserve">Risk Assessment</w:t>
      </w:r>
    </w:p>
    <w:p>
      <w:pPr>
        <w:spacing w:after="40"/>
      </w:pPr>
      <w:r>
        <w:rPr>
          <w:rFonts w:ascii="Calibri" w:cs="Calibri" w:eastAsia="Calibri" w:hAnsi="Calibri"/>
          <w:color w:val="34455E"/>
          <w:sz w:val="26"/>
          <w:szCs w:val="26"/>
        </w:rPr>
        <w:t xml:space="preserve">Terrapinn (Pty) Ltd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Sandton Convention Centre — Annual Trade Expo</w:t>
      </w:r>
    </w:p>
    <w:tbl>
      <w:tblPr>
        <w:tblW w:type="dxa" w:w="900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3000"/>
        <w:gridCol w:w="6000"/>
      </w:tblGrid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IMPI-RA-2026-014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Revision: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Rev 0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Event Date(s):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14 – 16 September 2026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S. Steynfaardt — Safety Officer (SASREA)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[Pending Review]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Approved By: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[Pending Approval]</w:t>
            </w:r>
          </w:p>
        </w:tc>
      </w:tr>
      <w:tr>
        <w:tc>
          <w:tcPr>
            <w:tcW w:type="dxa" w:w="3000"/>
            <w:shd w:fill="F4F5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C"/>
                <w:sz w:val="18"/>
                <w:szCs w:val="18"/>
              </w:rPr>
              <w:t xml:space="preserve">Status: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DRAFT — FOR CLIENT REVIEW</w:t>
            </w:r>
          </w:p>
        </w:tc>
      </w:tr>
    </w:tbl>
    <w:p>
      <w:pPr>
        <w:spacing w:before="7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B6472"/>
          <w:sz w:val="16"/>
          <w:szCs w:val="16"/>
        </w:rPr>
        <w:t xml:space="preserve">Prepared for the exclusive use of the above client. Distribution outside this scope requires written consent.</w:t>
      </w:r>
    </w:p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pBdr>
          <w:bottom w:val="single" w:color="1F2A3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2A3C"/>
          <w:sz w:val="26"/>
          <w:szCs w:val="26"/>
        </w:rPr>
        <w:t xml:space="preserve">Risk Assessment — Methodology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risk assessment applies the A × B × C × D = R rating methodology, in line with IMPI Protection Agency's standard risk management approach and the ALARP (As Low As Reasonably Practicable) principle. A = Likelihood of occurrence, B = Severity of consequence, C = Frequency/duration of exposure, D = Number of persons potentially affected. The resulting R value determines the risk category; where practicable additional controls are applied to reduce risk to an ALARP-acceptable residual level.</w:t>
      </w:r>
    </w:p>
    <w:tbl>
      <w:tblPr>
        <w:tblW w:type="dxa" w:w="900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C6E7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LOW (1–8)</w:t>
            </w:r>
          </w:p>
        </w:tc>
        <w:tc>
          <w:tcPr>
            <w:tcW w:type="dxa" w:w="2250"/>
            <w:shd w:fill="FFE6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MEDIUM (9–27)</w:t>
            </w:r>
          </w:p>
        </w:tc>
        <w:tc>
          <w:tcPr>
            <w:tcW w:type="dxa" w:w="2250"/>
            <w:shd w:fill="F7B8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HIGH (28–64)</w:t>
            </w:r>
          </w:p>
        </w:tc>
        <w:tc>
          <w:tcPr>
            <w:tcW w:type="dxa" w:w="2250"/>
            <w:shd w:fill="E874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EXTREME (65+)</w:t>
            </w:r>
          </w:p>
        </w:tc>
      </w:tr>
    </w:tbl>
    <w:p>
      <w:pPr>
        <w:spacing w:before="2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4455E"/>
          <w:sz w:val="22"/>
          <w:szCs w:val="22"/>
        </w:rPr>
        <w:t xml:space="preserve">Risk Register</w:t>
      </w:r>
    </w:p>
    <w:tbl>
      <w:tblPr>
        <w:tblW w:type="dxa" w:w="1460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500"/>
        <w:gridCol w:w="1500"/>
        <w:gridCol w:w="1700"/>
        <w:gridCol w:w="1500"/>
        <w:gridCol w:w="2200"/>
        <w:gridCol w:w="500"/>
        <w:gridCol w:w="500"/>
        <w:gridCol w:w="500"/>
        <w:gridCol w:w="500"/>
        <w:gridCol w:w="600"/>
        <w:gridCol w:w="900"/>
        <w:gridCol w:w="2200"/>
        <w:gridCol w:w="600"/>
        <w:gridCol w:w="900"/>
      </w:tblGrid>
      <w:tr>
        <w:trPr>
          <w:tblHeader/>
        </w:trPr>
        <w:tc>
          <w:tcPr>
            <w:tcW w:type="dxa" w:w="5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15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Activity</w:t>
            </w:r>
          </w:p>
        </w:tc>
        <w:tc>
          <w:tcPr>
            <w:tcW w:type="dxa" w:w="17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Hazard</w:t>
            </w:r>
          </w:p>
        </w:tc>
        <w:tc>
          <w:tcPr>
            <w:tcW w:type="dxa" w:w="15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Who/What May Be Harmed</w:t>
            </w:r>
          </w:p>
        </w:tc>
        <w:tc>
          <w:tcPr>
            <w:tcW w:type="dxa" w:w="22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Existing Controls</w:t>
            </w:r>
          </w:p>
        </w:tc>
        <w:tc>
          <w:tcPr>
            <w:tcW w:type="dxa" w:w="5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5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5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5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6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</w:t>
            </w:r>
          </w:p>
        </w:tc>
        <w:tc>
          <w:tcPr>
            <w:tcW w:type="dxa" w:w="9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Risk Rating</w:t>
            </w:r>
          </w:p>
        </w:tc>
        <w:tc>
          <w:tcPr>
            <w:tcW w:type="dxa" w:w="22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Additional Controls (if required)</w:t>
            </w:r>
          </w:p>
        </w:tc>
        <w:tc>
          <w:tcPr>
            <w:tcW w:type="dxa" w:w="6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Res. R</w:t>
            </w:r>
          </w:p>
        </w:tc>
        <w:tc>
          <w:tcPr>
            <w:tcW w:type="dxa" w:w="900"/>
            <w:shd w:fill="1F2A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ALARP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Rigging &amp; installation of overhead trussing/branding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Falling objects / dropped tools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Riggers, exhibitors, public below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Certified rigger only; exclusion zone barricaded; daily inspection tags; tool lanyards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shd w:fill="E874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72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EXTREME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Reduce exposure window; spotter posted at exclusion zone at all times</w:t>
            </w:r>
          </w:p>
        </w:tc>
        <w:tc>
          <w:tcPr>
            <w:tcW w:type="dxa" w:w="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24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Crowd movement — hall entry/exit points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Crowd crush / trip &amp; fall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Public, exhibitors, staff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Queue barriers; trained access control staff; capacity monitoring per hall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shd w:fill="F7B88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54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HIGH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Add second controlled entry lane during peak (10:00–11:00)</w:t>
            </w:r>
          </w:p>
        </w:tc>
        <w:tc>
          <w:tcPr>
            <w:tcW w:type="dxa" w:w="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18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Use of forklifts during build-up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Collision with pedestrians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Build-up crew, contractors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Trained/licensed operators only; horn + beacon; pedestrian walkways marked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shd w:fill="F7B88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32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HIGH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Banksman required during all reverse manoeuvres</w:t>
            </w:r>
          </w:p>
        </w:tc>
        <w:tc>
          <w:tcPr>
            <w:tcW w:type="dxa" w:w="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General housekeeping — cabling, walkways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Slips, trips, falls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All persons on site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Cable covers on all walkway crossings; daily walk-through inspection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MEDIUM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N/A — controls adequate</w:t>
            </w:r>
          </w:p>
        </w:tc>
        <w:tc>
          <w:tcPr>
            <w:tcW w:type="dxa" w:w="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Yes</w:t>
            </w:r>
          </w:p>
        </w:tc>
      </w:tr>
    </w:tbl>
    <w:p>
      <w:pPr>
        <w:spacing w:before="3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4455E"/>
          <w:sz w:val="22"/>
          <w:szCs w:val="22"/>
        </w:rPr>
        <w:t xml:space="preserve">Sign-Off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risk assessment has been compiled based on information provided by the client and site conditions observed/described at the time of assessment. It must be reviewed prior to each event and updated where site conditions, scope, or activities change.</w:t>
      </w:r>
    </w:p>
    <w:sectPr>
      <w:headerReference w:type="default" r:id="rId11"/>
      <w:footerReference w:type="default" r:id="rId12"/>
      <w:pgSz w:w="16838" w:h="11906" w:orient="landscape"/>
      <w:pgMar w:top="900" w:right="620" w:bottom="9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3" w:sz="4" w:space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5B6472"/>
        <w:sz w:val="14"/>
        <w:szCs w:val="14"/>
      </w:rPr>
      <w:t xml:space="preserve">Compiled by IMPI Protection Agency (Pty) Ltd  |  012 543 0640  |  info@impi-secure.co.za</w:t>
    </w:r>
    <w:r>
      <w:ptab w:alignment="right" w:leader="none"/>
    </w:r>
    <w:r>
      <w:rPr>
        <w:rFonts w:ascii="Calibri" w:cs="Calibri" w:eastAsia="Calibri" w:hAnsi="Calibri"/>
        <w:color w:val="5B6472"/>
        <w:sz w:val="14"/>
        <w:szCs w:val="14"/>
      </w:rPr>
      <w:t xml:space="preserve">Page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4"/>
        <w:szCs w:val="14"/>
      </w:rPr>
      <w:t xml:space="preserve"> of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3" w:sz="4" w:space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5B6472"/>
        <w:sz w:val="14"/>
        <w:szCs w:val="14"/>
      </w:rPr>
      <w:t xml:space="preserve">Compiled by IMPI Protection Agency (Pty) Ltd  |  012 543 0640  |  info@impi-secure.co.za</w:t>
    </w:r>
    <w:r>
      <w:ptab w:alignment="right" w:leader="none"/>
    </w:r>
    <w:r>
      <w:rPr>
        <w:rFonts w:ascii="Calibri" w:cs="Calibri" w:eastAsia="Calibri" w:hAnsi="Calibri"/>
        <w:color w:val="5B6472"/>
        <w:sz w:val="14"/>
        <w:szCs w:val="14"/>
      </w:rPr>
      <w:t xml:space="preserve">Page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4"/>
        <w:szCs w:val="14"/>
      </w:rPr>
      <w:t xml:space="preserve"> of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3" w:sz="4" w:space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5B6472"/>
        <w:sz w:val="14"/>
        <w:szCs w:val="14"/>
      </w:rPr>
      <w:t xml:space="preserve">Compiled by IMPI Protection Agency (Pty) Ltd  |  012 543 0640  |  info@impi-secure.co.za</w:t>
    </w:r>
    <w:r>
      <w:ptab w:alignment="right" w:leader="none"/>
    </w:r>
    <w:r>
      <w:rPr>
        <w:rFonts w:ascii="Calibri" w:cs="Calibri" w:eastAsia="Calibri" w:hAnsi="Calibri"/>
        <w:color w:val="5B6472"/>
        <w:sz w:val="14"/>
        <w:szCs w:val="14"/>
      </w:rPr>
      <w:t xml:space="preserve">Page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4"/>
        <w:szCs w:val="14"/>
      </w:rPr>
      <w:t xml:space="preserve"> of </w:t>
    </w:r>
    <w:r>
      <w:rPr>
        <w:rFonts w:ascii="Calibri" w:cs="Calibri" w:eastAsia="Calibri" w:hAnsi="Calibri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1095375" cy="180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B6472"/>
              <w:sz w:val="18"/>
              <w:szCs w:val="18"/>
            </w:rPr>
            <w:t xml:space="preserve">RISK ASSESSMENT</w:t>
          </w:r>
        </w:p>
      </w:tc>
    </w:tr>
  </w:tbl>
  <w:p>
    <w:pPr>
      <w:pBdr>
        <w:bottom w:val="single" w:color="1F2A3C" w:sz="8" w:space="4"/>
      </w:pBd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1095375" cy="180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B6472"/>
              <w:sz w:val="18"/>
              <w:szCs w:val="18"/>
            </w:rPr>
            <w:t xml:space="preserve">RISK ASSESSMENT</w:t>
          </w:r>
        </w:p>
      </w:tc>
    </w:tr>
  </w:tbl>
  <w:p>
    <w:pPr>
      <w:pBdr>
        <w:bottom w:val="single" w:color="1F2A3C" w:sz="8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969a9fd017db1ee0aa9e77b9015737c0a231060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9a9fd017db1ee0aa9e77b9015737c0a231060c.png"/></Relationships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969a9fd017db1ee0aa9e77b9015737c0a231060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2026-08-30T17:03:57.261Z</dcterms:created>
  <dcterms:modified xsi:type="dcterms:W3CDTF">2026-08-30T17:03:57.261Z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