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1047750"/>
                    </a:xfrm>
                    <a:prstGeom prst="rect">
                      <a:avLst/>
                    </a:prstGeom>
                  </pic:spPr>
                </pic:pic>
              </a:graphicData>
            </a:graphic>
          </wp:inline>
        </w:drawing>
      </w:r>
    </w:p>
    <w:p>
      <w:pPr>
        <w:spacing w:before="300"/>
      </w:pPr>
    </w:p>
    <w:p>
      <w:pPr>
        <w:spacing w:after="60"/>
      </w:pPr>
      <w:r>
        <w:rPr>
          <w:rFonts w:ascii="Calibri" w:cs="Calibri" w:eastAsia="Calibri" w:hAnsi="Calibri"/>
          <w:b/>
          <w:bCs/>
          <w:color w:val="B8942E"/>
          <w:spacing w:val="20"/>
          <w:sz w:val="20"/>
          <w:szCs w:val="20"/>
        </w:rPr>
        <w:t xml:space="preserve">SAFETY FILE DOCUMENT</w:t>
      </w:r>
    </w:p>
    <w:p>
      <w:pPr>
        <w:spacing w:after="60"/>
      </w:pPr>
      <w:r>
        <w:rPr>
          <w:rFonts w:ascii="Calibri" w:cs="Calibri" w:eastAsia="Calibri" w:hAnsi="Calibri"/>
          <w:b/>
          <w:bCs/>
          <w:color w:val="1F2A3C"/>
          <w:sz w:val="44"/>
          <w:szCs w:val="44"/>
        </w:rPr>
        <w:t xml:space="preserve">Method Statement</w:t>
      </w:r>
    </w:p>
    <w:p>
      <w:pPr>
        <w:spacing w:after="40"/>
      </w:pPr>
      <w:r>
        <w:rPr>
          <w:rFonts w:ascii="Calibri" w:cs="Calibri" w:eastAsia="Calibri" w:hAnsi="Calibri"/>
          <w:color w:val="34455E"/>
          <w:sz w:val="26"/>
          <w:szCs w:val="26"/>
        </w:rPr>
        <w:t xml:space="preserve">Informa Markets</w:t>
      </w:r>
    </w:p>
    <w:p>
      <w:pPr>
        <w:spacing w:after="500"/>
      </w:pPr>
      <w:r>
        <w:rPr>
          <w:rFonts w:ascii="Calibri" w:cs="Calibri" w:eastAsia="Calibri" w:hAnsi="Calibri"/>
          <w:i/>
          <w:iCs/>
          <w:color w:val="5B6472"/>
          <w:sz w:val="22"/>
          <w:szCs w:val="22"/>
        </w:rPr>
        <w:t xml:space="preserve">Ticketpro Dome — Trade &amp; Industry Showcase — Rigging &amp; Overhead Installation</w:t>
      </w:r>
    </w:p>
    <w:tbl>
      <w:tblPr>
        <w:tblW w:type="dxa" w:w="9000"/>
        <w:tblBorders>
          <w:top w:val="single" w:color="C9CDD3" w:sz="4"/>
          <w:left w:val="single" w:color="C9CDD3" w:sz="4"/>
          <w:bottom w:val="single" w:color="C9CDD3" w:sz="4"/>
          <w:right w:val="single" w:color="C9CDD3" w:sz="4"/>
          <w:insideH w:val="single" w:color="C9CDD3" w:sz="4"/>
          <w:insideV w:val="single" w:color="C9CDD3" w:sz="4"/>
        </w:tblBorders>
      </w:tblPr>
      <w:tblGrid>
        <w:gridCol w:w="3000"/>
        <w:gridCol w:w="6000"/>
      </w:tblGrid>
      <w:tr>
        <w:tc>
          <w:tcPr>
            <w:tcW w:type="dxa" w:w="3000"/>
            <w:shd w:fill="F4F5F7" w:val="clear"/>
            <w:tcMar>
              <w:top w:type="dxa" w:w="100"/>
              <w:left w:type="dxa" w:w="150"/>
              <w:bottom w:type="dxa" w:w="100"/>
              <w:right w:type="dxa" w:w="150"/>
            </w:tcMar>
          </w:tcPr>
          <w:p>
            <w:r>
              <w:rPr>
                <w:rFonts w:ascii="Calibri" w:cs="Calibri" w:eastAsia="Calibri" w:hAnsi="Calibri"/>
                <w:b/>
                <w:bCs/>
                <w:color w:val="1F2A3C"/>
                <w:sz w:val="18"/>
                <w:szCs w:val="18"/>
              </w:rPr>
              <w:t xml:space="preserve">Document Ref:</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IMPI-MS-2026-031</w:t>
            </w:r>
          </w:p>
        </w:tc>
      </w:tr>
      <w:tr>
        <w:tc>
          <w:tcPr>
            <w:tcW w:type="dxa" w:w="3000"/>
            <w:shd w:fill="F4F5F7" w:val="clear"/>
            <w:tcMar>
              <w:top w:type="dxa" w:w="100"/>
              <w:left w:type="dxa" w:w="150"/>
              <w:bottom w:type="dxa" w:w="100"/>
              <w:right w:type="dxa" w:w="150"/>
            </w:tcMar>
          </w:tcPr>
          <w:p>
            <w:r>
              <w:rPr>
                <w:rFonts w:ascii="Calibri" w:cs="Calibri" w:eastAsia="Calibri" w:hAnsi="Calibri"/>
                <w:b/>
                <w:bCs/>
                <w:color w:val="1F2A3C"/>
                <w:sz w:val="18"/>
                <w:szCs w:val="18"/>
              </w:rPr>
              <w:t xml:space="preserve">Revision: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Rev 0</w:t>
            </w:r>
          </w:p>
        </w:tc>
      </w:tr>
      <w:tr>
        <w:tc>
          <w:tcPr>
            <w:tcW w:type="dxa" w:w="3000"/>
            <w:shd w:fill="F4F5F7" w:val="clear"/>
            <w:tcMar>
              <w:top w:type="dxa" w:w="100"/>
              <w:left w:type="dxa" w:w="150"/>
              <w:bottom w:type="dxa" w:w="100"/>
              <w:right w:type="dxa" w:w="150"/>
            </w:tcMar>
          </w:tcPr>
          <w:p>
            <w:r>
              <w:rPr>
                <w:rFonts w:ascii="Calibri" w:cs="Calibri" w:eastAsia="Calibri" w:hAnsi="Calibri"/>
                <w:b/>
                <w:bCs/>
                <w:color w:val="1F2A3C"/>
                <w:sz w:val="18"/>
                <w:szCs w:val="18"/>
              </w:rPr>
              <w:t xml:space="preserve">Activity Date(s):</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02 – 04 October 2026</w:t>
            </w:r>
          </w:p>
        </w:tc>
      </w:tr>
      <w:tr>
        <w:tc>
          <w:tcPr>
            <w:tcW w:type="dxa" w:w="3000"/>
            <w:shd w:fill="F4F5F7" w:val="clear"/>
            <w:tcMar>
              <w:top w:type="dxa" w:w="100"/>
              <w:left w:type="dxa" w:w="150"/>
              <w:bottom w:type="dxa" w:w="100"/>
              <w:right w:type="dxa" w:w="150"/>
            </w:tcMar>
          </w:tcPr>
          <w:p>
            <w:r>
              <w:rPr>
                <w:rFonts w:ascii="Calibri" w:cs="Calibri" w:eastAsia="Calibri" w:hAnsi="Calibri"/>
                <w:b/>
                <w:bCs/>
                <w:color w:val="1F2A3C"/>
                <w:sz w:val="18"/>
                <w:szCs w:val="18"/>
              </w:rPr>
              <w:t xml:space="preserve">Prepared By:</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S. Steynfaardt — Safety Officer (SASREA)</w:t>
            </w:r>
          </w:p>
        </w:tc>
      </w:tr>
      <w:tr>
        <w:tc>
          <w:tcPr>
            <w:tcW w:type="dxa" w:w="3000"/>
            <w:shd w:fill="F4F5F7" w:val="clear"/>
            <w:tcMar>
              <w:top w:type="dxa" w:w="100"/>
              <w:left w:type="dxa" w:w="150"/>
              <w:bottom w:type="dxa" w:w="100"/>
              <w:right w:type="dxa" w:w="150"/>
            </w:tcMar>
          </w:tcPr>
          <w:p>
            <w:r>
              <w:rPr>
                <w:rFonts w:ascii="Calibri" w:cs="Calibri" w:eastAsia="Calibri" w:hAnsi="Calibri"/>
                <w:b/>
                <w:bCs/>
                <w:color w:val="1F2A3C"/>
                <w:sz w:val="18"/>
                <w:szCs w:val="18"/>
              </w:rPr>
              <w:t xml:space="preserve">Reviewed By:</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[Pending Review]</w:t>
            </w:r>
          </w:p>
        </w:tc>
      </w:tr>
      <w:tr>
        <w:tc>
          <w:tcPr>
            <w:tcW w:type="dxa" w:w="3000"/>
            <w:shd w:fill="F4F5F7" w:val="clear"/>
            <w:tcMar>
              <w:top w:type="dxa" w:w="100"/>
              <w:left w:type="dxa" w:w="150"/>
              <w:bottom w:type="dxa" w:w="100"/>
              <w:right w:type="dxa" w:w="150"/>
            </w:tcMar>
          </w:tcPr>
          <w:p>
            <w:r>
              <w:rPr>
                <w:rFonts w:ascii="Calibri" w:cs="Calibri" w:eastAsia="Calibri" w:hAnsi="Calibri"/>
                <w:b/>
                <w:bCs/>
                <w:color w:val="1F2A3C"/>
                <w:sz w:val="18"/>
                <w:szCs w:val="18"/>
              </w:rPr>
              <w:t xml:space="preserve">Approved By:</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[Pending Approval]</w:t>
            </w:r>
          </w:p>
        </w:tc>
      </w:tr>
      <w:tr>
        <w:tc>
          <w:tcPr>
            <w:tcW w:type="dxa" w:w="3000"/>
            <w:shd w:fill="F4F5F7" w:val="clear"/>
            <w:tcMar>
              <w:top w:type="dxa" w:w="100"/>
              <w:left w:type="dxa" w:w="150"/>
              <w:bottom w:type="dxa" w:w="100"/>
              <w:right w:type="dxa" w:w="150"/>
            </w:tcMar>
          </w:tcPr>
          <w:p>
            <w:r>
              <w:rPr>
                <w:rFonts w:ascii="Calibri" w:cs="Calibri" w:eastAsia="Calibri" w:hAnsi="Calibri"/>
                <w:b/>
                <w:bCs/>
                <w:color w:val="1F2A3C"/>
                <w:sz w:val="18"/>
                <w:szCs w:val="18"/>
              </w:rPr>
              <w:t xml:space="preserve">Status:</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DRAFT — FOR CLIENT REVIEW</w:t>
            </w:r>
          </w:p>
        </w:tc>
      </w:tr>
    </w:tbl>
    <w:p>
      <w:pPr>
        <w:spacing w:before="700"/>
      </w:pPr>
    </w:p>
    <w:p>
      <w:pPr>
        <w:jc w:val="center"/>
      </w:pPr>
      <w:r>
        <w:rPr>
          <w:rFonts w:ascii="Calibri" w:cs="Calibri" w:eastAsia="Calibri" w:hAnsi="Calibri"/>
          <w:i/>
          <w:iCs/>
          <w:color w:val="5B6472"/>
          <w:sz w:val="16"/>
          <w:szCs w:val="16"/>
        </w:rPr>
        <w:t xml:space="preserve">Prepared for the exclusive use of the above client. Distribution outside this scope requires written consent.</w:t>
      </w:r>
    </w:p>
    <w:p>
      <w:r>
        <w:br w:type="page"/>
      </w:r>
    </w:p>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pPr>
    </w:p>
    <w:p>
      <w:pPr>
        <w:pStyle w:val="Heading1"/>
        <w:pBdr>
          <w:bottom w:val="single" w:color="1F2A3C" w:sz="6" w:space="4"/>
        </w:pBdr>
        <w:spacing w:after="140" w:before="280"/>
      </w:pPr>
      <w:r>
        <w:rPr>
          <w:rFonts w:ascii="Calibri" w:cs="Calibri" w:eastAsia="Calibri" w:hAnsi="Calibri"/>
          <w:b/>
          <w:bCs/>
          <w:color w:val="1F2A3C"/>
          <w:sz w:val="26"/>
          <w:szCs w:val="26"/>
        </w:rPr>
        <w:t xml:space="preserve">1. Purpose &amp; Scope</w:t>
      </w:r>
    </w:p>
    <w:p>
      <w:pPr>
        <w:spacing w:after="120"/>
      </w:pPr>
      <w:r>
        <w:rPr>
          <w:rFonts w:ascii="Calibri" w:cs="Calibri" w:eastAsia="Calibri" w:hAnsi="Calibri"/>
          <w:color w:val="222222"/>
          <w:sz w:val="20"/>
          <w:szCs w:val="20"/>
        </w:rPr>
        <w:t xml:space="preserve">This method statement describes the safe system of work for rigging and overhead installation activities at the above site, and must be read in conjunction with the associated Risk Assessment (Ref: IMPI-RA-2026-031).</w:t>
      </w:r>
    </w:p>
    <w:p>
      <w:pPr>
        <w:pStyle w:val="Heading1"/>
        <w:pBdr>
          <w:bottom w:val="single" w:color="1F2A3C" w:sz="6" w:space="4"/>
        </w:pBdr>
        <w:spacing w:after="140" w:before="280"/>
      </w:pPr>
      <w:r>
        <w:rPr>
          <w:rFonts w:ascii="Calibri" w:cs="Calibri" w:eastAsia="Calibri" w:hAnsi="Calibri"/>
          <w:b/>
          <w:bCs/>
          <w:color w:val="1F2A3C"/>
          <w:sz w:val="26"/>
          <w:szCs w:val="26"/>
        </w:rPr>
        <w:t xml:space="preserve">2. References</w:t>
      </w:r>
    </w:p>
    <w:p>
      <w:pPr>
        <w:pStyle w:val="ListParagraph"/>
        <w:numPr>
          <w:ilvl w:val="0"/>
          <w:numId w:val="1"/>
        </w:numPr>
        <w:spacing w:after="60"/>
      </w:pPr>
      <w:r>
        <w:rPr>
          <w:rFonts w:ascii="Calibri" w:cs="Calibri" w:eastAsia="Calibri" w:hAnsi="Calibri"/>
          <w:color w:val="222222"/>
          <w:sz w:val="20"/>
          <w:szCs w:val="20"/>
        </w:rPr>
        <w:t xml:space="preserve">Occupational Health and Safety Act 85 of 1993</w:t>
      </w:r>
    </w:p>
    <w:p>
      <w:pPr>
        <w:pStyle w:val="ListParagraph"/>
        <w:numPr>
          <w:ilvl w:val="0"/>
          <w:numId w:val="1"/>
        </w:numPr>
        <w:spacing w:after="60"/>
      </w:pPr>
      <w:r>
        <w:rPr>
          <w:rFonts w:ascii="Calibri" w:cs="Calibri" w:eastAsia="Calibri" w:hAnsi="Calibri"/>
          <w:color w:val="222222"/>
          <w:sz w:val="20"/>
          <w:szCs w:val="20"/>
        </w:rPr>
        <w:t xml:space="preserve">SASREA — Safety at Sports and Recreational Events Act 2 of 2010</w:t>
      </w:r>
    </w:p>
    <w:p>
      <w:pPr>
        <w:pStyle w:val="ListParagraph"/>
        <w:numPr>
          <w:ilvl w:val="0"/>
          <w:numId w:val="1"/>
        </w:numPr>
        <w:spacing w:after="60"/>
      </w:pPr>
      <w:r>
        <w:rPr>
          <w:rFonts w:ascii="Calibri" w:cs="Calibri" w:eastAsia="Calibri" w:hAnsi="Calibri"/>
          <w:color w:val="222222"/>
          <w:sz w:val="20"/>
          <w:szCs w:val="20"/>
        </w:rPr>
        <w:t xml:space="preserve">Driven Machinery Regulations, 2015</w:t>
      </w:r>
    </w:p>
    <w:p>
      <w:pPr>
        <w:pStyle w:val="ListParagraph"/>
        <w:numPr>
          <w:ilvl w:val="0"/>
          <w:numId w:val="1"/>
        </w:numPr>
        <w:spacing w:after="60"/>
      </w:pPr>
      <w:r>
        <w:rPr>
          <w:rFonts w:ascii="Calibri" w:cs="Calibri" w:eastAsia="Calibri" w:hAnsi="Calibri"/>
          <w:color w:val="222222"/>
          <w:sz w:val="20"/>
          <w:szCs w:val="20"/>
        </w:rPr>
        <w:t xml:space="preserve">IMPI Protection Agency Risk Assessment IMPI-RA-2026-031</w:t>
      </w:r>
    </w:p>
    <w:p>
      <w:pPr>
        <w:pStyle w:val="Heading1"/>
        <w:pBdr>
          <w:bottom w:val="single" w:color="1F2A3C" w:sz="6" w:space="4"/>
        </w:pBdr>
        <w:spacing w:after="140" w:before="280"/>
      </w:pPr>
      <w:r>
        <w:rPr>
          <w:rFonts w:ascii="Calibri" w:cs="Calibri" w:eastAsia="Calibri" w:hAnsi="Calibri"/>
          <w:b/>
          <w:bCs/>
          <w:color w:val="1F2A3C"/>
          <w:sz w:val="26"/>
          <w:szCs w:val="26"/>
        </w:rPr>
        <w:t xml:space="preserve">3. Roles &amp; Responsibilities</w:t>
      </w:r>
    </w:p>
    <w:p>
      <w:pPr>
        <w:spacing w:after="120"/>
      </w:pPr>
      <w:r>
        <w:rPr>
          <w:rFonts w:ascii="Calibri" w:cs="Calibri" w:eastAsia="Calibri" w:hAnsi="Calibri"/>
          <w:color w:val="222222"/>
          <w:sz w:val="20"/>
          <w:szCs w:val="20"/>
        </w:rPr>
        <w:t xml:space="preserve">The Site Supervisor holds overall responsibility for this activity. All rigging work is to be carried out only by personnel holding a valid rigging certificate of competence. The IMPI Safety Officer retains authority to stop work at any time where an unsafe condition is identified.</w:t>
      </w:r>
    </w:p>
    <w:p>
      <w:pPr>
        <w:pStyle w:val="Heading1"/>
        <w:pBdr>
          <w:bottom w:val="single" w:color="1F2A3C" w:sz="6" w:space="4"/>
        </w:pBdr>
        <w:spacing w:after="140" w:before="280"/>
      </w:pPr>
      <w:r>
        <w:rPr>
          <w:rFonts w:ascii="Calibri" w:cs="Calibri" w:eastAsia="Calibri" w:hAnsi="Calibri"/>
          <w:b/>
          <w:bCs/>
          <w:color w:val="1F2A3C"/>
          <w:sz w:val="26"/>
          <w:szCs w:val="26"/>
        </w:rPr>
        <w:t xml:space="preserve">4. PPE Requirements</w:t>
      </w:r>
    </w:p>
    <w:p>
      <w:pPr>
        <w:pStyle w:val="ListParagraph"/>
        <w:numPr>
          <w:ilvl w:val="0"/>
          <w:numId w:val="1"/>
        </w:numPr>
        <w:spacing w:after="60"/>
      </w:pPr>
      <w:r>
        <w:rPr>
          <w:rFonts w:ascii="Calibri" w:cs="Calibri" w:eastAsia="Calibri" w:hAnsi="Calibri"/>
          <w:color w:val="222222"/>
          <w:sz w:val="20"/>
          <w:szCs w:val="20"/>
        </w:rPr>
        <w:t xml:space="preserve">Hard hat (chin strap fastened at height)</w:t>
      </w:r>
    </w:p>
    <w:p>
      <w:pPr>
        <w:pStyle w:val="ListParagraph"/>
        <w:numPr>
          <w:ilvl w:val="0"/>
          <w:numId w:val="1"/>
        </w:numPr>
        <w:spacing w:after="60"/>
      </w:pPr>
      <w:r>
        <w:rPr>
          <w:rFonts w:ascii="Calibri" w:cs="Calibri" w:eastAsia="Calibri" w:hAnsi="Calibri"/>
          <w:color w:val="222222"/>
          <w:sz w:val="20"/>
          <w:szCs w:val="20"/>
        </w:rPr>
        <w:t xml:space="preserve">Full body harness with double lanyard — mandatory above 1.8 m</w:t>
      </w:r>
    </w:p>
    <w:p>
      <w:pPr>
        <w:pStyle w:val="ListParagraph"/>
        <w:numPr>
          <w:ilvl w:val="0"/>
          <w:numId w:val="1"/>
        </w:numPr>
        <w:spacing w:after="60"/>
      </w:pPr>
      <w:r>
        <w:rPr>
          <w:rFonts w:ascii="Calibri" w:cs="Calibri" w:eastAsia="Calibri" w:hAnsi="Calibri"/>
          <w:color w:val="222222"/>
          <w:sz w:val="20"/>
          <w:szCs w:val="20"/>
        </w:rPr>
        <w:t xml:space="preserve">Steel-capped safety boots</w:t>
      </w:r>
    </w:p>
    <w:p>
      <w:pPr>
        <w:pStyle w:val="ListParagraph"/>
        <w:numPr>
          <w:ilvl w:val="0"/>
          <w:numId w:val="1"/>
        </w:numPr>
        <w:spacing w:after="60"/>
      </w:pPr>
      <w:r>
        <w:rPr>
          <w:rFonts w:ascii="Calibri" w:cs="Calibri" w:eastAsia="Calibri" w:hAnsi="Calibri"/>
          <w:color w:val="222222"/>
          <w:sz w:val="20"/>
          <w:szCs w:val="20"/>
        </w:rPr>
        <w:t xml:space="preserve">Hi-visibility vest</w:t>
      </w:r>
    </w:p>
    <w:p>
      <w:pPr>
        <w:pStyle w:val="ListParagraph"/>
        <w:numPr>
          <w:ilvl w:val="0"/>
          <w:numId w:val="1"/>
        </w:numPr>
        <w:spacing w:after="60"/>
      </w:pPr>
      <w:r>
        <w:rPr>
          <w:rFonts w:ascii="Calibri" w:cs="Calibri" w:eastAsia="Calibri" w:hAnsi="Calibri"/>
          <w:color w:val="222222"/>
          <w:sz w:val="20"/>
          <w:szCs w:val="20"/>
        </w:rPr>
        <w:t xml:space="preserve">Gloves appropriate to task</w:t>
      </w:r>
    </w:p>
    <w:p>
      <w:pPr>
        <w:pStyle w:val="Heading1"/>
        <w:pBdr>
          <w:bottom w:val="single" w:color="1F2A3C" w:sz="6" w:space="4"/>
        </w:pBdr>
        <w:spacing w:after="140" w:before="280"/>
      </w:pPr>
      <w:r>
        <w:rPr>
          <w:rFonts w:ascii="Calibri" w:cs="Calibri" w:eastAsia="Calibri" w:hAnsi="Calibri"/>
          <w:b/>
          <w:bCs/>
          <w:color w:val="1F2A3C"/>
          <w:sz w:val="26"/>
          <w:szCs w:val="26"/>
        </w:rPr>
        <w:t xml:space="preserve">5. Sequence of Work</w:t>
      </w:r>
    </w:p>
    <w:tbl>
      <w:tblPr>
        <w:tblW w:type="dxa" w:w="10000"/>
        <w:tblBorders>
          <w:top w:val="single" w:color="C9CDD3" w:sz="4"/>
          <w:left w:val="single" w:color="C9CDD3" w:sz="4"/>
          <w:bottom w:val="single" w:color="C9CDD3" w:sz="4"/>
          <w:right w:val="single" w:color="C9CDD3" w:sz="4"/>
          <w:insideH w:val="single" w:color="C9CDD3" w:sz="4"/>
          <w:insideV w:val="single" w:color="C9CDD3" w:sz="4"/>
        </w:tblBorders>
      </w:tblPr>
      <w:tblGrid>
        <w:gridCol w:w="600"/>
        <w:gridCol w:w="3400"/>
        <w:gridCol w:w="3800"/>
        <w:gridCol w:w="2200"/>
      </w:tblGrid>
      <w:tr>
        <w:trPr>
          <w:tblHeader/>
        </w:trPr>
        <w:tc>
          <w:tcPr>
            <w:tcW w:type="dxa" w:w="600"/>
            <w:shd w:fill="1F2A3C" w:val="clear"/>
            <w:tcMar>
              <w:top w:type="dxa" w:w="70"/>
              <w:left w:type="dxa" w:w="100"/>
              <w:bottom w:type="dxa" w:w="70"/>
              <w:right w:type="dxa" w:w="100"/>
            </w:tcMar>
            <w:vAlign w:val="center"/>
          </w:tcPr>
          <w:p>
            <w:pPr>
              <w:jc w:val="center"/>
            </w:pPr>
            <w:r>
              <w:rPr>
                <w:rFonts w:ascii="Calibri" w:cs="Calibri" w:eastAsia="Calibri" w:hAnsi="Calibri"/>
                <w:b/>
                <w:bCs/>
                <w:color w:val="FFFFFF"/>
                <w:sz w:val="17"/>
                <w:szCs w:val="17"/>
              </w:rPr>
              <w:t xml:space="preserve">Step</w:t>
            </w:r>
          </w:p>
        </w:tc>
        <w:tc>
          <w:tcPr>
            <w:tcW w:type="dxa" w:w="3400"/>
            <w:shd w:fill="1F2A3C" w:val="clear"/>
            <w:tcMar>
              <w:top w:type="dxa" w:w="70"/>
              <w:left w:type="dxa" w:w="100"/>
              <w:bottom w:type="dxa" w:w="70"/>
              <w:right w:type="dxa" w:w="100"/>
            </w:tcMar>
            <w:vAlign w:val="center"/>
          </w:tcPr>
          <w:p>
            <w:pPr>
              <w:jc w:val="left"/>
            </w:pPr>
            <w:r>
              <w:rPr>
                <w:rFonts w:ascii="Calibri" w:cs="Calibri" w:eastAsia="Calibri" w:hAnsi="Calibri"/>
                <w:b/>
                <w:bCs/>
                <w:color w:val="FFFFFF"/>
                <w:sz w:val="17"/>
                <w:szCs w:val="17"/>
              </w:rPr>
              <w:t xml:space="preserve">Description of Task</w:t>
            </w:r>
          </w:p>
        </w:tc>
        <w:tc>
          <w:tcPr>
            <w:tcW w:type="dxa" w:w="3800"/>
            <w:shd w:fill="1F2A3C" w:val="clear"/>
            <w:tcMar>
              <w:top w:type="dxa" w:w="70"/>
              <w:left w:type="dxa" w:w="100"/>
              <w:bottom w:type="dxa" w:w="70"/>
              <w:right w:type="dxa" w:w="100"/>
            </w:tcMar>
            <w:vAlign w:val="center"/>
          </w:tcPr>
          <w:p>
            <w:pPr>
              <w:jc w:val="left"/>
            </w:pPr>
            <w:r>
              <w:rPr>
                <w:rFonts w:ascii="Calibri" w:cs="Calibri" w:eastAsia="Calibri" w:hAnsi="Calibri"/>
                <w:b/>
                <w:bCs/>
                <w:color w:val="FFFFFF"/>
                <w:sz w:val="17"/>
                <w:szCs w:val="17"/>
              </w:rPr>
              <w:t xml:space="preserve">Key Hazards &amp; Controls</w:t>
            </w:r>
          </w:p>
        </w:tc>
        <w:tc>
          <w:tcPr>
            <w:tcW w:type="dxa" w:w="2200"/>
            <w:shd w:fill="1F2A3C" w:val="clear"/>
            <w:tcMar>
              <w:top w:type="dxa" w:w="70"/>
              <w:left w:type="dxa" w:w="100"/>
              <w:bottom w:type="dxa" w:w="70"/>
              <w:right w:type="dxa" w:w="100"/>
            </w:tcMar>
            <w:vAlign w:val="center"/>
          </w:tcPr>
          <w:p>
            <w:pPr>
              <w:jc w:val="left"/>
            </w:pPr>
            <w:r>
              <w:rPr>
                <w:rFonts w:ascii="Calibri" w:cs="Calibri" w:eastAsia="Calibri" w:hAnsi="Calibri"/>
                <w:b/>
                <w:bCs/>
                <w:color w:val="FFFFFF"/>
                <w:sz w:val="17"/>
                <w:szCs w:val="17"/>
              </w:rPr>
              <w:t xml:space="preserve">Responsible</w:t>
            </w:r>
          </w:p>
        </w:tc>
      </w:tr>
      <w:tr>
        <w:tc>
          <w:tcPr>
            <w:tcW w:type="dxa" w:w="600"/>
            <w:tcMar>
              <w:top w:type="dxa" w:w="70"/>
              <w:left w:type="dxa" w:w="100"/>
              <w:bottom w:type="dxa" w:w="70"/>
              <w:right w:type="dxa" w:w="100"/>
            </w:tcMar>
            <w:vAlign w:val="center"/>
          </w:tcPr>
          <w:p>
            <w:pPr>
              <w:jc w:val="center"/>
            </w:pPr>
            <w:r>
              <w:rPr>
                <w:rFonts w:ascii="Calibri" w:cs="Calibri" w:eastAsia="Calibri" w:hAnsi="Calibri"/>
                <w:b/>
                <w:bCs/>
                <w:color w:val="222222"/>
                <w:sz w:val="17"/>
                <w:szCs w:val="17"/>
              </w:rPr>
              <w:t xml:space="preserve">1</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7"/>
                <w:szCs w:val="17"/>
              </w:rPr>
              <w:t xml:space="preserve">Site establishment: erect barricading around rigging work area, display signage, brief crew on plan.</w:t>
            </w:r>
          </w:p>
        </w:tc>
        <w:tc>
          <w:tcPr>
            <w:tcW w:type="dxa" w:w="3800"/>
            <w:tcMar>
              <w:top w:type="dxa" w:w="70"/>
              <w:left w:type="dxa" w:w="100"/>
              <w:bottom w:type="dxa" w:w="70"/>
              <w:right w:type="dxa" w:w="100"/>
            </w:tcMar>
            <w:vAlign w:val="center"/>
          </w:tcPr>
          <w:p>
            <w:pPr>
              <w:jc w:val="left"/>
            </w:pPr>
            <w:r>
              <w:rPr>
                <w:rFonts w:ascii="Calibri" w:cs="Calibri" w:eastAsia="Calibri" w:hAnsi="Calibri"/>
                <w:b w:val="false"/>
                <w:bCs w:val="false"/>
                <w:color w:val="222222"/>
                <w:sz w:val="17"/>
                <w:szCs w:val="17"/>
              </w:rPr>
              <w:t xml:space="preserve">Unauthorised access — barricade full perimeter; SANS 1186-compliant signage</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7"/>
                <w:szCs w:val="17"/>
              </w:rPr>
              <w:t xml:space="preserve">Site Supervisor</w:t>
            </w:r>
          </w:p>
        </w:tc>
      </w:tr>
      <w:tr>
        <w:tc>
          <w:tcPr>
            <w:tcW w:type="dxa" w:w="600"/>
            <w:shd w:fill="F4F5F7" w:val="clear"/>
            <w:tcMar>
              <w:top w:type="dxa" w:w="70"/>
              <w:left w:type="dxa" w:w="100"/>
              <w:bottom w:type="dxa" w:w="70"/>
              <w:right w:type="dxa" w:w="100"/>
            </w:tcMar>
            <w:vAlign w:val="center"/>
          </w:tcPr>
          <w:p>
            <w:pPr>
              <w:jc w:val="center"/>
            </w:pPr>
            <w:r>
              <w:rPr>
                <w:rFonts w:ascii="Calibri" w:cs="Calibri" w:eastAsia="Calibri" w:hAnsi="Calibri"/>
                <w:b/>
                <w:bCs/>
                <w:color w:val="222222"/>
                <w:sz w:val="17"/>
                <w:szCs w:val="17"/>
              </w:rPr>
              <w:t xml:space="preserve">2</w:t>
            </w:r>
          </w:p>
        </w:tc>
        <w:tc>
          <w:tcPr>
            <w:tcW w:type="dxa" w:w="3400"/>
            <w:shd w:fill="F4F5F7"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7"/>
                <w:szCs w:val="17"/>
              </w:rPr>
              <w:t xml:space="preserve">Pre-use inspection of all rigging equipment, hoists, and certified lifting gear.</w:t>
            </w:r>
          </w:p>
        </w:tc>
        <w:tc>
          <w:tcPr>
            <w:tcW w:type="dxa" w:w="3800"/>
            <w:shd w:fill="F4F5F7"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7"/>
                <w:szCs w:val="17"/>
              </w:rPr>
              <w:t xml:space="preserve">Equipment failure — visual inspection + inspection tags; defective gear removed from service</w:t>
            </w:r>
          </w:p>
        </w:tc>
        <w:tc>
          <w:tcPr>
            <w:tcW w:type="dxa" w:w="2200"/>
            <w:shd w:fill="F4F5F7"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7"/>
                <w:szCs w:val="17"/>
              </w:rPr>
              <w:t xml:space="preserve">Rigging Foreman</w:t>
            </w:r>
          </w:p>
        </w:tc>
      </w:tr>
      <w:tr>
        <w:tc>
          <w:tcPr>
            <w:tcW w:type="dxa" w:w="600"/>
            <w:tcMar>
              <w:top w:type="dxa" w:w="70"/>
              <w:left w:type="dxa" w:w="100"/>
              <w:bottom w:type="dxa" w:w="70"/>
              <w:right w:type="dxa" w:w="100"/>
            </w:tcMar>
            <w:vAlign w:val="center"/>
          </w:tcPr>
          <w:p>
            <w:pPr>
              <w:jc w:val="center"/>
            </w:pPr>
            <w:r>
              <w:rPr>
                <w:rFonts w:ascii="Calibri" w:cs="Calibri" w:eastAsia="Calibri" w:hAnsi="Calibri"/>
                <w:b/>
                <w:bCs/>
                <w:color w:val="222222"/>
                <w:sz w:val="17"/>
                <w:szCs w:val="17"/>
              </w:rPr>
              <w:t xml:space="preserve">3</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7"/>
                <w:szCs w:val="17"/>
              </w:rPr>
              <w:t xml:space="preserve">Lift and position overhead truss sections using certified hoists.</w:t>
            </w:r>
          </w:p>
        </w:tc>
        <w:tc>
          <w:tcPr>
            <w:tcW w:type="dxa" w:w="3800"/>
            <w:tcMar>
              <w:top w:type="dxa" w:w="70"/>
              <w:left w:type="dxa" w:w="100"/>
              <w:bottom w:type="dxa" w:w="70"/>
              <w:right w:type="dxa" w:w="100"/>
            </w:tcMar>
            <w:vAlign w:val="center"/>
          </w:tcPr>
          <w:p>
            <w:pPr>
              <w:jc w:val="left"/>
            </w:pPr>
            <w:r>
              <w:rPr>
                <w:rFonts w:ascii="Calibri" w:cs="Calibri" w:eastAsia="Calibri" w:hAnsi="Calibri"/>
                <w:b w:val="false"/>
                <w:bCs w:val="false"/>
                <w:color w:val="222222"/>
                <w:sz w:val="17"/>
                <w:szCs w:val="17"/>
              </w:rPr>
              <w:t xml:space="preserve">Falling objects — exclusion zone enforced; tag lines used; no work below suspended loads</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7"/>
                <w:szCs w:val="17"/>
              </w:rPr>
              <w:t xml:space="preserve">Certified Rigger</w:t>
            </w:r>
          </w:p>
        </w:tc>
      </w:tr>
      <w:tr>
        <w:tc>
          <w:tcPr>
            <w:tcW w:type="dxa" w:w="600"/>
            <w:shd w:fill="F4F5F7" w:val="clear"/>
            <w:tcMar>
              <w:top w:type="dxa" w:w="70"/>
              <w:left w:type="dxa" w:w="100"/>
              <w:bottom w:type="dxa" w:w="70"/>
              <w:right w:type="dxa" w:w="100"/>
            </w:tcMar>
            <w:vAlign w:val="center"/>
          </w:tcPr>
          <w:p>
            <w:pPr>
              <w:jc w:val="center"/>
            </w:pPr>
            <w:r>
              <w:rPr>
                <w:rFonts w:ascii="Calibri" w:cs="Calibri" w:eastAsia="Calibri" w:hAnsi="Calibri"/>
                <w:b/>
                <w:bCs/>
                <w:color w:val="222222"/>
                <w:sz w:val="17"/>
                <w:szCs w:val="17"/>
              </w:rPr>
              <w:t xml:space="preserve">4</w:t>
            </w:r>
          </w:p>
        </w:tc>
        <w:tc>
          <w:tcPr>
            <w:tcW w:type="dxa" w:w="3400"/>
            <w:shd w:fill="F4F5F7"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7"/>
                <w:szCs w:val="17"/>
              </w:rPr>
              <w:t xml:space="preserve">Secure and tension all rigging points; verify load ratings against structural approval.</w:t>
            </w:r>
          </w:p>
        </w:tc>
        <w:tc>
          <w:tcPr>
            <w:tcW w:type="dxa" w:w="3800"/>
            <w:shd w:fill="F4F5F7"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7"/>
                <w:szCs w:val="17"/>
              </w:rPr>
              <w:t xml:space="preserve">Structural failure — engineer sign-off required prior to load application</w:t>
            </w:r>
          </w:p>
        </w:tc>
        <w:tc>
          <w:tcPr>
            <w:tcW w:type="dxa" w:w="2200"/>
            <w:shd w:fill="F4F5F7"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7"/>
                <w:szCs w:val="17"/>
              </w:rPr>
              <w:t xml:space="preserve">Rigging Foreman / Structural Engineer</w:t>
            </w:r>
          </w:p>
        </w:tc>
      </w:tr>
      <w:tr>
        <w:tc>
          <w:tcPr>
            <w:tcW w:type="dxa" w:w="600"/>
            <w:tcMar>
              <w:top w:type="dxa" w:w="70"/>
              <w:left w:type="dxa" w:w="100"/>
              <w:bottom w:type="dxa" w:w="70"/>
              <w:right w:type="dxa" w:w="100"/>
            </w:tcMar>
            <w:vAlign w:val="center"/>
          </w:tcPr>
          <w:p>
            <w:pPr>
              <w:jc w:val="center"/>
            </w:pPr>
            <w:r>
              <w:rPr>
                <w:rFonts w:ascii="Calibri" w:cs="Calibri" w:eastAsia="Calibri" w:hAnsi="Calibri"/>
                <w:b/>
                <w:bCs/>
                <w:color w:val="222222"/>
                <w:sz w:val="17"/>
                <w:szCs w:val="17"/>
              </w:rPr>
              <w:t xml:space="preserve">5</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7"/>
                <w:szCs w:val="17"/>
              </w:rPr>
              <w:t xml:space="preserve">Final inspection, remove barricading only once area is certified safe, handover to client.</w:t>
            </w:r>
          </w:p>
        </w:tc>
        <w:tc>
          <w:tcPr>
            <w:tcW w:type="dxa" w:w="3800"/>
            <w:tcMar>
              <w:top w:type="dxa" w:w="70"/>
              <w:left w:type="dxa" w:w="100"/>
              <w:bottom w:type="dxa" w:w="70"/>
              <w:right w:type="dxa" w:w="100"/>
            </w:tcMar>
            <w:vAlign w:val="center"/>
          </w:tcPr>
          <w:p>
            <w:pPr>
              <w:jc w:val="left"/>
            </w:pPr>
            <w:r>
              <w:rPr>
                <w:rFonts w:ascii="Calibri" w:cs="Calibri" w:eastAsia="Calibri" w:hAnsi="Calibri"/>
                <w:b w:val="false"/>
                <w:bCs w:val="false"/>
                <w:color w:val="222222"/>
                <w:sz w:val="17"/>
                <w:szCs w:val="17"/>
              </w:rPr>
              <w:t xml:space="preserve">Residual hazards — final walk-down inspection with client representative</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7"/>
                <w:szCs w:val="17"/>
              </w:rPr>
              <w:t xml:space="preserve">Safety Officer</w:t>
            </w:r>
          </w:p>
        </w:tc>
      </w:tr>
    </w:tbl>
    <w:p>
      <w:pPr>
        <w:spacing w:before="300"/>
      </w:pPr>
    </w:p>
    <w:p>
      <w:pPr>
        <w:pStyle w:val="Heading1"/>
        <w:pBdr>
          <w:bottom w:val="single" w:color="1F2A3C" w:sz="6" w:space="4"/>
        </w:pBdr>
        <w:spacing w:after="140" w:before="280"/>
      </w:pPr>
      <w:r>
        <w:rPr>
          <w:rFonts w:ascii="Calibri" w:cs="Calibri" w:eastAsia="Calibri" w:hAnsi="Calibri"/>
          <w:b/>
          <w:bCs/>
          <w:color w:val="1F2A3C"/>
          <w:sz w:val="26"/>
          <w:szCs w:val="26"/>
        </w:rPr>
        <w:t xml:space="preserve">6. Emergency Procedures</w:t>
      </w:r>
    </w:p>
    <w:p>
      <w:pPr>
        <w:spacing w:after="120"/>
      </w:pPr>
      <w:r>
        <w:rPr>
          <w:rFonts w:ascii="Calibri" w:cs="Calibri" w:eastAsia="Calibri" w:hAnsi="Calibri"/>
          <w:color w:val="222222"/>
          <w:sz w:val="20"/>
          <w:szCs w:val="20"/>
        </w:rPr>
        <w:t xml:space="preserve">In the event of an incident, work stops immediately. The Site Supervisor activates the site emergency plan; first aid/medical response is coordinated via the event JOC. Emergency contact numbers are displayed at the site office and included in the Emergency Evacuation Plan for this event.</w:t>
      </w:r>
    </w:p>
    <w:p>
      <w:pPr>
        <w:pStyle w:val="Heading1"/>
        <w:pBdr>
          <w:bottom w:val="single" w:color="1F2A3C" w:sz="6" w:space="4"/>
        </w:pBdr>
        <w:spacing w:after="140" w:before="280"/>
      </w:pPr>
      <w:r>
        <w:rPr>
          <w:rFonts w:ascii="Calibri" w:cs="Calibri" w:eastAsia="Calibri" w:hAnsi="Calibri"/>
          <w:b/>
          <w:bCs/>
          <w:color w:val="1F2A3C"/>
          <w:sz w:val="26"/>
          <w:szCs w:val="26"/>
        </w:rPr>
        <w:t xml:space="preserve">7. Sign-Off</w:t>
      </w:r>
    </w:p>
    <w:p>
      <w:pPr>
        <w:spacing w:after="120"/>
      </w:pPr>
      <w:r>
        <w:rPr>
          <w:rFonts w:ascii="Calibri" w:cs="Calibri" w:eastAsia="Calibri" w:hAnsi="Calibri"/>
          <w:color w:val="222222"/>
          <w:sz w:val="20"/>
          <w:szCs w:val="20"/>
        </w:rPr>
        <w:t xml:space="preserve">This method statement is to be reviewed and signed by all personnel involved in the activity prior to commencement of work, confirming they understand and will comply with the safe system of work described above.</w:t>
      </w:r>
    </w:p>
    <w:sectPr>
      <w:headerReference w:type="default" r:id="rId11"/>
      <w:footerReference w:type="default" r:id="rId12"/>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3" w:sz="4" w:space="4"/>
      </w:pBdr>
      <w:tabs>
        <w:tab w:val="right" w:pos="9026"/>
      </w:tabs>
      <w:spacing w:before="80"/>
    </w:pPr>
    <w:r>
      <w:rPr>
        <w:rFonts w:ascii="Calibri" w:cs="Calibri" w:eastAsia="Calibri" w:hAnsi="Calibri"/>
        <w:color w:val="5B6472"/>
        <w:sz w:val="14"/>
        <w:szCs w:val="14"/>
      </w:rPr>
      <w:t xml:space="preserve">Compiled by IMPI Protection Agency (Pty) Ltd  |  012 543 0640  |  info@impi-secure.co.za</w:t>
    </w:r>
    <w:r>
      <w:ptab w:alignment="right" w:leader="none"/>
    </w:r>
    <w:r>
      <w:rPr>
        <w:rFonts w:ascii="Calibri" w:cs="Calibri" w:eastAsia="Calibri" w:hAnsi="Calibri"/>
        <w:color w:val="5B6472"/>
        <w:sz w:val="14"/>
        <w:szCs w:val="14"/>
      </w:rPr>
      <w:t xml:space="preserve">Page </w:t>
    </w:r>
    <w:r>
      <w:rPr>
        <w:rFonts w:ascii="Calibri" w:cs="Calibri" w:eastAsia="Calibri" w:hAnsi="Calibri"/>
        <w:color w:val="5B6472"/>
        <w:sz w:val="14"/>
        <w:szCs w:val="14"/>
      </w:rPr>
      <w:fldChar w:fldCharType="begin"/>
      <w:instrText xml:space="preserve">PAGE</w:instrText>
      <w:fldChar w:fldCharType="separate"/>
      <w:fldChar w:fldCharType="end"/>
    </w:r>
    <w:r>
      <w:rPr>
        <w:rFonts w:ascii="Calibri" w:cs="Calibri" w:eastAsia="Calibri" w:hAnsi="Calibri"/>
        <w:color w:val="5B6472"/>
        <w:sz w:val="14"/>
        <w:szCs w:val="14"/>
      </w:rPr>
      <w:t xml:space="preserve"> of </w:t>
    </w:r>
    <w:r>
      <w:rPr>
        <w:rFonts w:ascii="Calibri" w:cs="Calibri" w:eastAsia="Calibri" w:hAnsi="Calibri"/>
        <w:color w:val="5B6472"/>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3" w:sz="4" w:space="4"/>
      </w:pBdr>
      <w:tabs>
        <w:tab w:val="right" w:pos="9026"/>
      </w:tabs>
      <w:spacing w:before="80"/>
    </w:pPr>
    <w:r>
      <w:rPr>
        <w:rFonts w:ascii="Calibri" w:cs="Calibri" w:eastAsia="Calibri" w:hAnsi="Calibri"/>
        <w:color w:val="5B6472"/>
        <w:sz w:val="14"/>
        <w:szCs w:val="14"/>
      </w:rPr>
      <w:t xml:space="preserve">Compiled by IMPI Protection Agency (Pty) Ltd  |  012 543 0640  |  info@impi-secure.co.za</w:t>
    </w:r>
    <w:r>
      <w:ptab w:alignment="right" w:leader="none"/>
    </w:r>
    <w:r>
      <w:rPr>
        <w:rFonts w:ascii="Calibri" w:cs="Calibri" w:eastAsia="Calibri" w:hAnsi="Calibri"/>
        <w:color w:val="5B6472"/>
        <w:sz w:val="14"/>
        <w:szCs w:val="14"/>
      </w:rPr>
      <w:t xml:space="preserve">Page </w:t>
    </w:r>
    <w:r>
      <w:rPr>
        <w:rFonts w:ascii="Calibri" w:cs="Calibri" w:eastAsia="Calibri" w:hAnsi="Calibri"/>
        <w:color w:val="5B6472"/>
        <w:sz w:val="14"/>
        <w:szCs w:val="14"/>
      </w:rPr>
      <w:fldChar w:fldCharType="begin"/>
      <w:instrText xml:space="preserve">PAGE</w:instrText>
      <w:fldChar w:fldCharType="separate"/>
      <w:fldChar w:fldCharType="end"/>
    </w:r>
    <w:r>
      <w:rPr>
        <w:rFonts w:ascii="Calibri" w:cs="Calibri" w:eastAsia="Calibri" w:hAnsi="Calibri"/>
        <w:color w:val="5B6472"/>
        <w:sz w:val="14"/>
        <w:szCs w:val="14"/>
      </w:rPr>
      <w:t xml:space="preserve"> of </w:t>
    </w:r>
    <w:r>
      <w:rPr>
        <w:rFonts w:ascii="Calibri" w:cs="Calibri" w:eastAsia="Calibri" w:hAnsi="Calibri"/>
        <w:color w:val="5B6472"/>
        <w:sz w:val="14"/>
        <w:szCs w:val="14"/>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3" w:sz="4" w:space="4"/>
      </w:pBdr>
      <w:tabs>
        <w:tab w:val="right" w:pos="9026"/>
      </w:tabs>
      <w:spacing w:before="80"/>
    </w:pPr>
    <w:r>
      <w:rPr>
        <w:rFonts w:ascii="Calibri" w:cs="Calibri" w:eastAsia="Calibri" w:hAnsi="Calibri"/>
        <w:color w:val="5B6472"/>
        <w:sz w:val="14"/>
        <w:szCs w:val="14"/>
      </w:rPr>
      <w:t xml:space="preserve">Compiled by IMPI Protection Agency (Pty) Ltd  |  012 543 0640  |  info@impi-secure.co.za</w:t>
    </w:r>
    <w:r>
      <w:ptab w:alignment="right" w:leader="none"/>
    </w:r>
    <w:r>
      <w:rPr>
        <w:rFonts w:ascii="Calibri" w:cs="Calibri" w:eastAsia="Calibri" w:hAnsi="Calibri"/>
        <w:color w:val="5B6472"/>
        <w:sz w:val="14"/>
        <w:szCs w:val="14"/>
      </w:rPr>
      <w:t xml:space="preserve">Page </w:t>
    </w:r>
    <w:r>
      <w:rPr>
        <w:rFonts w:ascii="Calibri" w:cs="Calibri" w:eastAsia="Calibri" w:hAnsi="Calibri"/>
        <w:color w:val="5B6472"/>
        <w:sz w:val="14"/>
        <w:szCs w:val="14"/>
      </w:rPr>
      <w:fldChar w:fldCharType="begin"/>
      <w:instrText xml:space="preserve">PAGE</w:instrText>
      <w:fldChar w:fldCharType="separate"/>
      <w:fldChar w:fldCharType="end"/>
    </w:r>
    <w:r>
      <w:rPr>
        <w:rFonts w:ascii="Calibri" w:cs="Calibri" w:eastAsia="Calibri" w:hAnsi="Calibri"/>
        <w:color w:val="5B6472"/>
        <w:sz w:val="14"/>
        <w:szCs w:val="14"/>
      </w:rPr>
      <w:t xml:space="preserve"> of </w:t>
    </w:r>
    <w:r>
      <w:rPr>
        <w:rFonts w:ascii="Calibri" w:cs="Calibri" w:eastAsia="Calibri" w:hAnsi="Calibri"/>
        <w:color w:val="5B64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4680"/>
      <w:gridCol w:w="4680"/>
    </w:tblGrid>
    <w:tr>
      <w:tc>
        <w:tcPr>
          <w:tcW w:type="dxa" w:w="4680"/>
          <w:vAlign w:val="center"/>
        </w:tcPr>
        <w:p>
          <w:pPr>
            <w:jc w:val="left"/>
          </w:pPr>
          <w:r>
            <w:drawing>
              <wp:inline distT="0" distB="0" distL="0" distR="0">
                <wp:extent cx="1095375"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95375" cy="1095375"/>
                        </a:xfrm>
                        <a:prstGeom prst="rect">
                          <a:avLst/>
                        </a:prstGeom>
                      </pic:spPr>
                    </pic:pic>
                  </a:graphicData>
                </a:graphic>
              </wp:inline>
            </w:drawing>
          </w:r>
        </w:p>
      </w:tc>
      <w:tc>
        <w:tcPr>
          <w:tcW w:type="dxa" w:w="4680"/>
          <w:vAlign w:val="center"/>
        </w:tcPr>
        <w:p>
          <w:pPr>
            <w:jc w:val="right"/>
          </w:pPr>
          <w:r>
            <w:rPr>
              <w:rFonts w:ascii="Calibri" w:cs="Calibri" w:eastAsia="Calibri" w:hAnsi="Calibri"/>
              <w:b/>
              <w:bCs/>
              <w:color w:val="5B6472"/>
              <w:sz w:val="18"/>
              <w:szCs w:val="18"/>
            </w:rPr>
            <w:t xml:space="preserve">METHOD STATEMENT</w:t>
          </w:r>
        </w:p>
      </w:tc>
    </w:tr>
  </w:tbl>
  <w:p>
    <w:pPr>
      <w:pBdr>
        <w:bottom w:val="single" w:color="1F2A3C" w:sz="8" w:space="4"/>
      </w:pBd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4680"/>
      <w:gridCol w:w="4680"/>
    </w:tblGrid>
    <w:tr>
      <w:tc>
        <w:tcPr>
          <w:tcW w:type="dxa" w:w="4680"/>
          <w:vAlign w:val="center"/>
        </w:tcPr>
        <w:p>
          <w:pPr>
            <w:jc w:val="left"/>
          </w:pPr>
          <w:r>
            <w:drawing>
              <wp:inline distT="0" distB="0" distL="0" distR="0">
                <wp:extent cx="1095375"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95375" cy="1095375"/>
                        </a:xfrm>
                        <a:prstGeom prst="rect">
                          <a:avLst/>
                        </a:prstGeom>
                      </pic:spPr>
                    </pic:pic>
                  </a:graphicData>
                </a:graphic>
              </wp:inline>
            </w:drawing>
          </w:r>
        </w:p>
      </w:tc>
      <w:tc>
        <w:tcPr>
          <w:tcW w:type="dxa" w:w="4680"/>
          <w:vAlign w:val="center"/>
        </w:tcPr>
        <w:p>
          <w:pPr>
            <w:jc w:val="right"/>
          </w:pPr>
          <w:r>
            <w:rPr>
              <w:rFonts w:ascii="Calibri" w:cs="Calibri" w:eastAsia="Calibri" w:hAnsi="Calibri"/>
              <w:b/>
              <w:bCs/>
              <w:color w:val="5B6472"/>
              <w:sz w:val="18"/>
              <w:szCs w:val="18"/>
            </w:rPr>
            <w:t xml:space="preserve">METHOD STATEMENT</w:t>
          </w:r>
        </w:p>
      </w:tc>
    </w:tr>
  </w:tbl>
  <w:p>
    <w:pPr>
      <w:pBdr>
        <w:bottom w:val="single" w:color="1F2A3C" w:sz="8" w:space="4"/>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eec32f2a07726402d3d0768c0a95c2eb5bc39904.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c32f2a07726402d3d0768c0a95c2eb5bc39904.jpg"/></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eec32f2a07726402d3d0768c0a95c2eb5bc3990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2026-08-30T17:05:01.601Z</dcterms:created>
  <dcterms:modified xsi:type="dcterms:W3CDTF">2026-08-30T17:05:01.601Z</dcterms:modified>
</cp:coreProperties>
</file>

<file path=docProps/custom.xml><?xml version="1.0" encoding="utf-8"?>
<Properties xmlns="http://schemas.openxmlformats.org/officeDocument/2006/custom-properties" xmlns:vt="http://schemas.openxmlformats.org/officeDocument/2006/docPropsVTypes"/>
</file>