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panel.</w:t>
      </w:r>
      <w:r>
        <w:t xml:space="preserve"> </w:t>
      </w:r>
      <w:r>
        <w:rPr>
          <w:bCs/>
          <w:b/>
        </w:rPr>
        <w:t xml:space="preserve">The figures and Table 2</w:t>
      </w:r>
      <w:r>
        <w:rPr>
          <w:bCs/>
          <w:b/>
        </w:rPr>
        <w:t xml:space="preserve"> </w:t>
      </w:r>
      <w:r>
        <w:rPr>
          <w:bCs/>
          <w:b/>
        </w:rPr>
        <w:t xml:space="preserve">scorecard are the faithful-default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, base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1.118 V — the device-realistic value of Section 5.z); the SCAPS-emulation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het_recomb_despike</w:t>
      </w:r>
      <w:r>
        <w:t xml:space="preserve">, Section 5.z) shifts the base to SCAPS’s 1.168 V and</w:t>
      </w:r>
      <w:r>
        <w:t xml:space="preserve"> </w:t>
      </w:r>
      <w:r>
        <w:t xml:space="preserve">tightens the trend magnitudes as tabulated there (e.g. CBO 80 to 85 %, bulk</w:t>
      </w:r>
      <w:r>
        <w:t xml:space="preserve"> </w:t>
      </w:r>
      <w:r>
        <w:t xml:space="preserve">N</w:t>
      </w:r>
      <w:r>
        <w:rPr>
          <w:vertAlign w:val="subscript"/>
        </w:rPr>
        <w:t xml:space="preserve">t</w:t>
      </w:r>
      <w:r>
        <w:t xml:space="preserve"> </w:t>
      </w:r>
      <w:r>
        <w:t xml:space="preserve">11 to 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 to 72 %) without changing any sweep</w:t>
      </w:r>
      <w:r>
        <w:t xml:space="preserve"> </w:t>
      </w:r>
      <w:r>
        <w:t xml:space="preserve">direction. (The two interface-doping figures — ETL donor doping and HTL/PVK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— are shown in the interface-plane-states mode, where their</w:t>
      </w:r>
      <w:r>
        <w:t xml:space="preserve"> </w:t>
      </w:r>
      <w:r>
        <w:t xml:space="preserve">direction reverses to match SCAPS as explained in Section 5.z; on the faithful</w:t>
      </w:r>
      <w:r>
        <w:t xml:space="preserve"> </w:t>
      </w:r>
      <w:r>
        <w:t xml:space="preserve">transient path those two flatten/reverse.) Grouped by outcome (faithful default):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</w:t>
      </w:r>
      <w:r>
        <w:t xml:space="preserve"> </w:t>
      </w:r>
      <w:r>
        <w:rPr>
          <w:bCs/>
          <w:b/>
        </w:rPr>
        <w:t xml:space="preserve">faithful-default mode</w:t>
      </w:r>
      <w:r>
        <w:t xml:space="preserve"> </w:t>
      </w:r>
      <w:r>
        <w:t xml:space="preserve">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 The SCAPS-emulation mode of Section 5.z tightens</w:t>
      </w:r>
      <w:r>
        <w:t xml:space="preserve"> </w:t>
      </w:r>
      <w:r>
        <w:t xml:space="preserve">these magnitudes (CBO 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72 %) and matches the</w:t>
      </w:r>
      <w:r>
        <w:t xml:space="preserve"> </w:t>
      </w:r>
      <w:r>
        <w:t xml:space="preserve">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to within 1 mV; all sweep directions are identical in both modes.</w:t>
      </w:r>
    </w:p>
    <w:bookmarkEnd w:id="35"/>
    <w:bookmarkStart w:id="39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6"/>
    <w:bookmarkStart w:id="37" w:name="Xd5e3842e0f9d57e66a2ef16c86f591e0c224622"/>
    <w:p>
      <w:pPr>
        <w:pStyle w:val="Heading2"/>
      </w:pPr>
      <w:r>
        <w:t xml:space="preserve">5.y Update: direct steady-state driver (2026-06-12)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7"/>
    <w:bookmarkStart w:id="38" w:name="X7a615725524da910d3ec6913c3140bbd1c9963c"/>
    <w:p>
      <w:pPr>
        <w:pStyle w:val="Heading2"/>
      </w:pPr>
      <w:r>
        <w:t xml:space="preserve">5.z Update: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absolute — root cause and the faithful-vs-emulation choice (2026-06-13)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38"/>
    <w:bookmarkEnd w:id="39"/>
    <w:bookmarkStart w:id="40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5.z). The base offset is now root-caused to absorber Auger recombination at the</w:t>
      </w:r>
      <w:r>
        <w:t xml:space="preserve"> </w:t>
      </w:r>
      <w:r>
        <w:t xml:space="preserve">HTL/PVK band offset (Section 5.z),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5.y):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0"/>
    <w:bookmarkStart w:id="41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1"/>
    <w:bookmarkStart w:id="42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2026-06-14T06:33:18Z</dcterms:created>
  <dcterms:modified xsi:type="dcterms:W3CDTF">2026-06-14T06:33:18Z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