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1.png" ContentType="image/png"/>
  <Override PartName="/word/media/rId33.png" ContentType="image/png"/>
  <Override PartName="/word/media/rId26.png" ContentType="image/png"/>
  <Override PartName="/word/media/rId32.png" ContentType="image/png"/>
  <Override PartName="/word/media/rId28.png" ContentType="image/png"/>
  <Override PartName="/word/media/rId34.png" ContentType="image/png"/>
  <Override PartName="/word/media/rId29.png" ContentType="image/png"/>
  <Override PartName="/word/media/rId27.png" ContentType="image/png"/>
  <Override PartName="/word/media/rId2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partner’s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partner workbook. This revision (2026-06-11) supersedes the 2026-05-29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two match partially, and three remain open; every</w:t>
      </w:r>
      <w:r>
        <w:t xml:space="preserve"> </w:t>
      </w:r>
      <w:r>
        <w:t xml:space="preserve">physically well-posed result satisfies the governing bounds. Notably, the</w:t>
      </w:r>
      <w:r>
        <w:t xml:space="preserve"> </w:t>
      </w:r>
      <w:r>
        <w:t xml:space="preserve">perovskite bulk-defect sweeps — previously flat — now reproduce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/PCE descent in direction after a sweep-wiring defect was found and fixed</w:t>
      </w:r>
      <w:r>
        <w:t xml:space="preserve"> </w:t>
      </w:r>
      <w:r>
        <w:t xml:space="preserve">(Section 5). The remaining open items trace to one named residual — the</w:t>
      </w:r>
      <w:r>
        <w:t xml:space="preserve"> </w:t>
      </w:r>
      <w:r>
        <w:t xml:space="preserve">interface-recombination channel — and are 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partner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partner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(partner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partner Base Model.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5" w:name="sweep-by-sweep-comparison"/>
    <w:p>
      <w:pPr>
        <w:pStyle w:val="Heading1"/>
      </w:pPr>
      <w:r>
        <w:t xml:space="preserve">4. Sweep-by-sweep comparison</w:t>
      </w:r>
    </w:p>
    <w:p>
      <w:pPr>
        <w:pStyle w:val="FirstParagraph"/>
      </w:pPr>
      <w:r>
        <w:t xml:space="preserve">The eleven sweeps are shown as overlays of SolarLab (solid blue) against SCAPS</w:t>
      </w:r>
      <w:r>
        <w:t xml:space="preserve"> </w:t>
      </w:r>
      <w:r>
        <w:t xml:space="preserve">(dashed red), four figures of merit per panel.</w:t>
      </w:r>
      <w:r>
        <w:t xml:space="preserve"> </w:t>
      </w:r>
      <w:r>
        <w:rPr>
          <w:bCs/>
          <w:b/>
        </w:rPr>
        <w:t xml:space="preserve">All figures and the Table 2</w:t>
      </w:r>
      <w:r>
        <w:rPr>
          <w:bCs/>
          <w:b/>
        </w:rPr>
        <w:t xml:space="preserve"> </w:t>
      </w:r>
      <w:r>
        <w:rPr>
          <w:bCs/>
          <w:b/>
        </w:rPr>
        <w:t xml:space="preserve">scorecard below are the faithful-default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, base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1.118 V — the device-realistic value of Section 5.z); the SCAPS-emulation</w:t>
      </w:r>
      <w:r>
        <w:t xml:space="preserve"> </w:t>
      </w:r>
      <w:r>
        <w:t xml:space="preserve">mode (</w:t>
      </w:r>
      <w:r>
        <w:rPr>
          <w:rStyle w:val="VerbatimChar"/>
        </w:rPr>
        <w:t xml:space="preserve">het_recomb_despike</w:t>
      </w:r>
      <w:r>
        <w:t xml:space="preserve">, Section 5.z) shifts the base to SCAPS’s 1.168 V and</w:t>
      </w:r>
      <w:r>
        <w:t xml:space="preserve"> </w:t>
      </w:r>
      <w:r>
        <w:t xml:space="preserve">tightens the trend magnitudes as tabulated there (e.g. CBO 80 to 85 %, bulk</w:t>
      </w:r>
      <w:r>
        <w:t xml:space="preserve"> </w:t>
      </w:r>
      <w:r>
        <w:t xml:space="preserve">N</w:t>
      </w:r>
      <w:r>
        <w:rPr>
          <w:vertAlign w:val="subscript"/>
        </w:rPr>
        <w:t xml:space="preserve">t</w:t>
      </w:r>
      <w:r>
        <w:t xml:space="preserve"> </w:t>
      </w:r>
      <w:r>
        <w:t xml:space="preserve">11 to 69 %, 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 to 72 %) without changing any sweep</w:t>
      </w:r>
      <w:r>
        <w:t xml:space="preserve"> </w:t>
      </w:r>
      <w:r>
        <w:t xml:space="preserve">direction. Grouped by outcome (faithful default):</w:t>
      </w:r>
    </w:p>
    <w:p>
      <w:pPr>
        <w:pStyle w:val="BodyText"/>
      </w:pPr>
      <w:r>
        <w:rPr>
          <w:bCs/>
          <w:b/>
        </w:rPr>
        <w:t xml:space="preserve">Matched (six).</w:t>
      </w:r>
      <w:r>
        <w:t xml:space="preserve"> </w:t>
      </w:r>
      <w:r>
        <w:t xml:space="preserve">The ETL/PVK conduction-band-offset sweep (Figure 1)</w:t>
      </w:r>
      <w:r>
        <w:t xml:space="preserve"> </w:t>
      </w:r>
      <w:r>
        <w:t xml:space="preserve">reproduces the SCAPS recombination cliff and recovery with 80 % of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(734 of 918 mV). The PVK donor-doping sweep (Figure 11) — a</w:t>
      </w:r>
      <w:r>
        <w:t xml:space="preserve"> </w:t>
      </w:r>
      <w:r>
        <w:t xml:space="preserve">direction mismatch in the previous revision — now matches SCAPS in both</w:t>
      </w:r>
      <w:r>
        <w:t xml:space="preserve"> </w:t>
      </w:r>
      <w:r>
        <w:t xml:space="preserve">direction and magnitude (39 vs 34 mV, including the fill-factor and efficiency</w:t>
      </w:r>
      <w:r>
        <w:t xml:space="preserve"> </w:t>
      </w:r>
      <w:r>
        <w:t xml:space="preserve">collapse at the degenerate 10</w:t>
      </w:r>
      <w:r>
        <w:rPr>
          <w:vertAlign w:val="superscript"/>
        </w:rPr>
        <w:t xml:space="preserve">18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point). The HTL/PVK interface</w:t>
      </w:r>
      <w:r>
        <w:t xml:space="preserve"> </w:t>
      </w:r>
      <w:r>
        <w:t xml:space="preserve">defect-density sweep (Figure 4) is near-flat in both solvers (0 vs 5 mV), and</w:t>
      </w:r>
      <w:r>
        <w:t xml:space="preserve"> </w:t>
      </w:r>
      <w:r>
        <w:t xml:space="preserve">the three defect-level sweeps that SCAPS holds flat — perovskite CB, perovskite</w:t>
      </w:r>
      <w:r>
        <w:t xml:space="preserve"> </w:t>
      </w:r>
      <w:r>
        <w:t xml:space="preserve">VB, and HTL/PVK (Figures 8–10) — are flat in SolarLab as well (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0.3 mV both).</w:t>
      </w:r>
    </w:p>
    <w:p>
      <w:pPr>
        <w:pStyle w:val="BodyText"/>
      </w:pPr>
      <w:r>
        <w:rPr>
          <w:bCs/>
          <w:b/>
        </w:rPr>
        <w:t xml:space="preserve">Partial (two).</w:t>
      </w:r>
      <w:r>
        <w:t xml:space="preserve"> </w:t>
      </w:r>
      <w:r>
        <w:t xml:space="preserve">The PVK/ETL interface defect-density sweep (Figure 2) matches</w:t>
      </w:r>
      <w:r>
        <w:t xml:space="preserve"> </w:t>
      </w:r>
      <w:r>
        <w:t xml:space="preserve">in direction and saturating shape with 53 % of the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(149 of</w:t>
      </w:r>
      <w:r>
        <w:t xml:space="preserve"> </w:t>
      </w:r>
      <w:r>
        <w:t xml:space="preserve">282 mV; 72 % with the transport correction off — see Section 5 for why the</w:t>
      </w:r>
      <w:r>
        <w:t xml:space="preserve"> </w:t>
      </w:r>
      <w:r>
        <w:t xml:space="preserve">correction trades interface-sweep closure for base-point accuracy). The</w:t>
      </w:r>
      <w:r>
        <w:t xml:space="preserve"> </w:t>
      </w:r>
      <w:r>
        <w:t xml:space="preserve">perovskite-VB bulk defect-density sweep (Figure 7) now matches SCAPS in</w:t>
      </w:r>
      <w:r>
        <w:t xml:space="preserve"> </w:t>
      </w:r>
      <w:r>
        <w:t xml:space="preserve">direction with 41 % of its range (4.4 of 10.8 mV) after the sweep-wiring fix</w:t>
      </w:r>
      <w:r>
        <w:t xml:space="preserve"> </w:t>
      </w:r>
      <w:r>
        <w:t xml:space="preserve">of Section 5.</w:t>
      </w:r>
    </w:p>
    <w:p>
      <w:pPr>
        <w:pStyle w:val="BodyText"/>
      </w:pPr>
      <w:r>
        <w:rPr>
          <w:bCs/>
          <w:b/>
        </w:rPr>
        <w:t xml:space="preserve">Open (three).</w:t>
      </w:r>
      <w:r>
        <w:t xml:space="preserve"> </w:t>
      </w:r>
      <w:r>
        <w:t xml:space="preserve">The ETL donor-doping sweep (Figure 5): the two degenerate</w:t>
      </w:r>
      <w:r>
        <w:t xml:space="preserve"> </w:t>
      </w:r>
      <w:r>
        <w:t xml:space="preserve">low-doping points are excluded by the validity guard, and on the well-posed arm</w:t>
      </w:r>
      <w:r>
        <w:t xml:space="preserve"> </w:t>
      </w:r>
      <w:r>
        <w:t xml:space="preserve">(10</w:t>
      </w:r>
      <w:r>
        <w:rPr>
          <w:vertAlign w:val="superscript"/>
        </w:rPr>
        <w:t xml:space="preserve">14</w:t>
      </w:r>
      <w:r>
        <w:t xml:space="preserve">–10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) SolarLab is essentially flat (11 mV) where SCAPS rises by</w:t>
      </w:r>
      <w:r>
        <w:t xml:space="preserve"> </w:t>
      </w:r>
      <w:r>
        <w:t xml:space="preserve">100 mV — the direction is within noise of flat, so the trend is counted open</w:t>
      </w:r>
      <w:r>
        <w:t xml:space="preserve"> </w:t>
      </w:r>
      <w:r>
        <w:t xml:space="preserve">rather than matched. The PVK/ETL interface defect-level sweep (Figure 3)</w:t>
      </w:r>
      <w:r>
        <w:t xml:space="preserve"> </w:t>
      </w:r>
      <w:r>
        <w:t xml:space="preserve">responds only weakly (2 of 35 mV). The perovskite-CB bulk defect-density sweep</w:t>
      </w:r>
      <w:r>
        <w:t xml:space="preserve"> </w:t>
      </w:r>
      <w:r>
        <w:t xml:space="preserve">(Figure 6) now responds in the correct direction but covers only 11 % of the</w:t>
      </w:r>
      <w:r>
        <w:t xml:space="preserve"> </w:t>
      </w:r>
      <w:r>
        <w:t xml:space="preserve">SCAPS range (4.3 of 38.6 mV). All three open items share one mechanism</w:t>
      </w:r>
      <w:r>
        <w:t xml:space="preserve"> </w:t>
      </w:r>
      <w:r>
        <w:t xml:space="preserve">(Section 5).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TL/PVK conduction-band offset (ΔEC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(ΔE</w:t>
      </w:r>
      <w:r>
        <w:rPr>
          <w:vertAlign w:val="subscript"/>
        </w:rPr>
        <w:t xml:space="preserve">C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TL donor doping (ND). Grey open markers: degenerate points excluded by the detailed-balance-ceiling guard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 Grey open markers: degenerate points excluded by the</w:t>
      </w:r>
      <w:r>
        <w:t xml:space="preserve"> </w:t>
      </w:r>
      <w:r>
        <w:t xml:space="preserve">detailed-balance-ceiling guard.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(80 %)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match (near-flat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PVK-CB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PVK-VB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partial (53 %)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PVK-VB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4.4 mV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partial (41 %)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4.3 mV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open (direction match, 11 %)</w:t>
            </w:r>
          </w:p>
        </w:tc>
      </w:tr>
    </w:tbl>
    <w:p>
      <w:pPr>
        <w:pStyle w:val="BodyText"/>
      </w:pPr>
      <w:r>
        <w:t xml:space="preserve">Table 2. Per-sweep scorecard,</w:t>
      </w:r>
      <w:r>
        <w:t xml:space="preserve"> </w:t>
      </w:r>
      <w:r>
        <w:rPr>
          <w:bCs/>
          <w:b/>
        </w:rPr>
        <w:t xml:space="preserve">faithful-default mode</w:t>
      </w:r>
      <w:r>
        <w:t xml:space="preserve"> </w:t>
      </w:r>
      <w:r>
        <w:t xml:space="preserve">(V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ranges over the</w:t>
      </w:r>
      <w:r>
        <w:t xml:space="preserve"> </w:t>
      </w:r>
      <w:r>
        <w:t xml:space="preserve">physically well-posed points). The SCAPS-emulation mode of Section 5.z tightens</w:t>
      </w:r>
      <w:r>
        <w:t xml:space="preserve"> </w:t>
      </w:r>
      <w:r>
        <w:t xml:space="preserve">these magnitudes (CBO 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69 %, 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72 %) and matches the</w:t>
      </w:r>
      <w:r>
        <w:t xml:space="preserve"> </w:t>
      </w:r>
      <w:r>
        <w:t xml:space="preserve">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to within 1 mV; all sweep directions are identical in both modes.</w:t>
      </w:r>
    </w:p>
    <w:bookmarkEnd w:id="35"/>
    <w:bookmarkStart w:id="39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bulk-defect sweeps: a sweep-wiring defect, found and fixed.</w:t>
      </w:r>
      <w:r>
        <w:t xml:space="preserve"> </w:t>
      </w:r>
      <w:r>
        <w:t xml:space="preserve">The</w:t>
      </w:r>
      <w:r>
        <w:t xml:space="preserve"> </w:t>
      </w:r>
      <w:r>
        <w:t xml:space="preserve">previous revision reported the perovskite CB/VB bulk defect-density sweeps as</w:t>
      </w:r>
      <w:r>
        <w:t xml:space="preserve"> </w:t>
      </w:r>
      <w:r>
        <w:t xml:space="preserve">fully masked (0 mV). Most of that flatness was an artifact: the sweep machinery</w:t>
      </w:r>
      <w:r>
        <w:t xml:space="preserve"> </w:t>
      </w:r>
      <w:r>
        <w:t xml:space="preserve">ratio-scaled the bulk SRH lifetime against a hardcoded absolute reference of</w:t>
      </w:r>
      <w:r>
        <w:t xml:space="preserve"> </w:t>
      </w:r>
      <w:r>
        <w:t xml:space="preserve">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, while the configuration’s base lifetime corresponds to its</w:t>
      </w:r>
      <w:r>
        <w:t xml:space="preserve"> </w:t>
      </w:r>
      <w:r>
        <w:t xml:space="preserve">declared 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defects — so every swept point in the partner range ran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lifetime than the baseline and the recombination knob was never</w:t>
      </w:r>
      <w:r>
        <w:t xml:space="preserve"> </w:t>
      </w:r>
      <w:r>
        <w:t xml:space="preserve">actually turned. With the lifetime now ratio-scaled off the configuration’s own</w:t>
      </w:r>
      <w:r>
        <w:t xml:space="preserve"> </w:t>
      </w:r>
      <w:r>
        <w:t xml:space="preserve">declared density, both sweeps reproduce the SCAPS V</w:t>
      </w:r>
      <w:r>
        <w:rPr>
          <w:vertAlign w:val="subscript"/>
        </w:rPr>
        <w:t xml:space="preserve">oc</w:t>
      </w:r>
      <w:r>
        <w:t xml:space="preserve">/PCE descent in</w:t>
      </w:r>
      <w:r>
        <w:t xml:space="preserve"> </w:t>
      </w:r>
      <w:r>
        <w:t xml:space="preserve">direction (VB: 41 % of the SCAPS range; CB: 11 %). The residual magnitude gap</w:t>
      </w:r>
      <w:r>
        <w:t xml:space="preserve"> </w:t>
      </w:r>
      <w:r>
        <w:t xml:space="preserve">is the genuine physics remainder: the swept trap is shallow (0.1 eV below the</w:t>
      </w:r>
      <w:r>
        <w:t xml:space="preserve"> </w:t>
      </w:r>
      <w:r>
        <w:t xml:space="preserve">conduction band, hence weakly recombining even in SCAPS), and SolarLab’s higher</w:t>
      </w:r>
      <w:r>
        <w:t xml:space="preserve"> </w:t>
      </w:r>
      <w:r>
        <w:t xml:space="preserve">interface-recombination floor partially masks the response.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the remaining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partially masks the bulk-defect responses discussed</w:t>
      </w:r>
      <w:r>
        <w:t xml:space="preserve"> </w:t>
      </w:r>
      <w:r>
        <w:t xml:space="preserve">above, and (iv) damps 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Start w:id="36" w:name="X3aa82850fded9386ab9dc49f890653e3e89abad"/>
    <w:p>
      <w:pPr>
        <w:pStyle w:val="Heading2"/>
      </w:pPr>
      <w:r>
        <w:t xml:space="preserve">5.x Update: interface-plane closure (2026-06-12)</w:t>
      </w:r>
    </w:p>
    <w:p>
      <w:pPr>
        <w:pStyle w:val="FirstParagraph"/>
      </w:pPr>
      <w:r>
        <w:t xml:space="preserve">After this report’s main analysis was frozen, the named residual mechanism was</w:t>
      </w:r>
      <w:r>
        <w:t xml:space="preserve"> </w:t>
      </w:r>
      <w:r>
        <w:t xml:space="preserve">addressed directly: an optional</w:t>
      </w:r>
      <w:r>
        <w:t xml:space="preserve"> </w:t>
      </w:r>
      <w:r>
        <w:rPr>
          <w:iCs/>
          <w:i/>
        </w:rPr>
        <w:t xml:space="preserve">interface-plane closure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interface_plane_closure</w:t>
      </w:r>
      <w:r>
        <w:t xml:space="preserve">, default off) evaluates defect-interface</w:t>
      </w:r>
      <w:r>
        <w:t xml:space="preserve"> </w:t>
      </w:r>
      <w:r>
        <w:t xml:space="preserve">recombination on true interface-plane carrier densities, solved per evaluation</w:t>
      </w:r>
      <w:r>
        <w:t xml:space="preserve"> </w:t>
      </w:r>
      <w:r>
        <w:t xml:space="preserve">from a local implicit flux balance (supply-limited; the plane gap is the</w:t>
      </w:r>
      <w:r>
        <w:t xml:space="preserve"> </w:t>
      </w:r>
      <w:r>
        <w:t xml:space="preserve">reduced interface gap, which carries the band-offset cliff physics; the trap</w:t>
      </w:r>
      <w:r>
        <w:t xml:space="preserve"> </w:t>
      </w:r>
      <w:r>
        <w:t xml:space="preserve">level is clamped to that gap). It is the fifth interface formulation attempted</w:t>
      </w:r>
      <w:r>
        <w:t xml:space="preserve"> </w:t>
      </w:r>
      <w:r>
        <w:t xml:space="preserve">and the first with a net-positive measured outcome: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corrected config</w:t>
            </w:r>
          </w:p>
        </w:tc>
        <w:tc>
          <w:p>
            <w:pPr>
              <w:pStyle w:val="Compact"/>
              <w:jc w:val="left"/>
            </w:pPr>
            <w:r>
              <w:t xml:space="preserve">+ plane closure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 (flat)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 mV (70 %)</w:t>
            </w:r>
          </w:p>
        </w:tc>
        <w:tc>
          <w:p>
            <w:pPr>
              <w:pStyle w:val="Compact"/>
              <w:jc w:val="left"/>
            </w:pPr>
            <w:r>
              <w:t xml:space="preserve">5.2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 (80 %)</w:t>
            </w:r>
          </w:p>
        </w:tc>
        <w:tc>
          <w:p>
            <w:pPr>
              <w:pStyle w:val="Compact"/>
              <w:jc w:val="left"/>
            </w:pPr>
            <w:r>
              <w:t xml:space="preserve">707 mV (77 %)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 (53 %)</w:t>
            </w:r>
          </w:p>
        </w:tc>
        <w:tc>
          <w:p>
            <w:pPr>
              <w:pStyle w:val="Compact"/>
              <w:jc w:val="left"/>
            </w:pPr>
            <w:r>
              <w:t xml:space="preserve">127 mV (45 %)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/ other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HTL/PVK interface — flat in SolarLab under every previous formulation</w:t>
      </w:r>
      <w:r>
        <w:t xml:space="preserve"> </w:t>
      </w:r>
      <w:r>
        <w:t xml:space="preserve">across six decades of surface-recombination velocity — now reproduces 70 % of</w:t>
      </w:r>
      <w:r>
        <w:t xml:space="preserve"> </w:t>
      </w:r>
      <w:r>
        <w:t xml:space="preserve">SCAPS’s response, at a small cost in the two large interface sweeps and no</w:t>
      </w:r>
      <w:r>
        <w:t xml:space="preserve"> </w:t>
      </w:r>
      <w:r>
        <w:t xml:space="preserve">change elsewhere. A combined probe (closure + flat-band contacts)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recover the ETL-doping rising arm, confirming that sweep, the PVK/ETL trap</w:t>
      </w:r>
      <w:r>
        <w:t xml:space="preserve"> </w:t>
      </w:r>
      <w:r>
        <w:t xml:space="preserve">energy, and the residual base offset as the remaining open items.</w:t>
      </w:r>
    </w:p>
    <w:bookmarkEnd w:id="36"/>
    <w:bookmarkStart w:id="37" w:name="Xd5e3842e0f9d57e66a2ef16c86f591e0c224622"/>
    <w:p>
      <w:pPr>
        <w:pStyle w:val="Heading2"/>
      </w:pPr>
      <w:r>
        <w:t xml:space="preserve">5.y Update: direct steady-state driver (2026-06-12)</w:t>
      </w:r>
    </w:p>
    <w:p>
      <w:pPr>
        <w:pStyle w:val="FirstParagraph"/>
      </w:pPr>
      <w:r>
        <w:t xml:space="preserve">The direct steady-state solve named above has since been built and</w:t>
      </w:r>
      <w:r>
        <w:t xml:space="preserve"> </w:t>
      </w:r>
      <w:r>
        <w:t xml:space="preserve">validated: the new driver solves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discretised physics the</w:t>
      </w:r>
      <w:r>
        <w:t xml:space="preserve"> </w:t>
      </w:r>
      <w:r>
        <w:t xml:space="preserve">transient integrates (one implementation, two solution methods), with a</w:t>
      </w:r>
      <w:r>
        <w:t xml:space="preserve"> </w:t>
      </w:r>
      <w:r>
        <w:t xml:space="preserve">damped Newton iteration, a smoothed thermionic-emission cap, and a</w:t>
      </w:r>
      <w:r>
        <w:t xml:space="preserve"> </w:t>
      </w:r>
      <w:r>
        <w:t xml:space="preserve">certified transient fallback at the few biases where the interface-switch</w:t>
      </w:r>
      <w:r>
        <w:t xml:space="preserve"> </w:t>
      </w:r>
      <w:r>
        <w:t xml:space="preserve">non-smoothness defeats a derivative-based method. Cross-validation of the</w:t>
      </w:r>
      <w:r>
        <w:t xml:space="preserve"> </w:t>
      </w:r>
      <w:r>
        <w:t xml:space="preserve">two methods on the mirror device (frozen ions in both): the steady-state</w:t>
      </w:r>
      <w:r>
        <w:t xml:space="preserve"> </w:t>
      </w:r>
      <w:r>
        <w:t xml:space="preserve">J–V matches the slow-scan transient within 5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 1 %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end-to-end, and a direct bisection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solve agrees with the</w:t>
      </w:r>
      <w:r>
        <w:t xml:space="preserve"> </w:t>
      </w:r>
      <w:r>
        <w:t xml:space="preserve">sweep interpolation within 2 mV — eliminating the voltage-grid</w:t>
      </w:r>
      <w:r>
        <w:t xml:space="preserve"> </w:t>
      </w:r>
      <w:r>
        <w:t xml:space="preserve">interpolation artefact identified in Section 2.</w:t>
      </w:r>
    </w:p>
    <w:p>
      <w:pPr>
        <w:pStyle w:val="BodyText"/>
      </w:pPr>
      <w:r>
        <w:t xml:space="preserve">The driver also settles the low-doping question definitively, in an</w:t>
      </w:r>
      <w:r>
        <w:t xml:space="preserve"> </w:t>
      </w:r>
      <w:r>
        <w:t xml:space="preserve">unexpected direction. With the solver no longer the limit, the</w:t>
      </w:r>
      <w:r>
        <w:t xml:space="preserve"> </w:t>
      </w:r>
      <w:r>
        <w:t xml:space="preserve">ETL-doping walk at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10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 </w:t>
      </w:r>
      <w:r>
        <w:t xml:space="preserve">completes — and the current</w:t>
      </w:r>
      <w:r>
        <w:t xml:space="preserve"> </w:t>
      </w:r>
      <w:r>
        <w:t xml:space="preserve">genuinely finds</w:t>
      </w:r>
      <w:r>
        <w:t xml:space="preserve"> </w:t>
      </w:r>
      <w:r>
        <w:rPr>
          <w:bCs/>
          <w:b/>
        </w:rPr>
        <w:t xml:space="preserve">no zero crossing below 1.6 V</w:t>
      </w:r>
      <w:r>
        <w:t xml:space="preserve">, in agreement with the</w:t>
      </w:r>
      <w:r>
        <w:t xml:space="preserve"> </w:t>
      </w:r>
      <w:r>
        <w:t xml:space="preserve">transient flat-band result (the model’s crossing sits near 1.29 V, above</w:t>
      </w:r>
      <w:r>
        <w:t xml:space="preserve"> </w:t>
      </w:r>
      <w:r>
        <w:t xml:space="preserve">the detailed-balance ceiling, i.e. in the degenerate regime the validity</w:t>
      </w:r>
      <w:r>
        <w:t xml:space="preserve"> </w:t>
      </w:r>
      <w:r>
        <w:t xml:space="preserve">guard excludes). Two independent solution methods agreeing on one</w:t>
      </w:r>
      <w:r>
        <w:t xml:space="preserve"> </w:t>
      </w:r>
      <w:r>
        <w:t xml:space="preserve">physics implementation means the remaining low-doping difference to</w:t>
      </w:r>
      <w:r>
        <w:t xml:space="preserve"> </w:t>
      </w:r>
      <w:r>
        <w:t xml:space="preserve">SCAPS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= 1.10 V there) is a</w:t>
      </w:r>
      <w:r>
        <w:t xml:space="preserve"> </w:t>
      </w:r>
      <w:r>
        <w:rPr>
          <w:iCs/>
          <w:i/>
        </w:rPr>
        <w:t xml:space="preserve">model-convention</w:t>
      </w:r>
      <w:r>
        <w:t xml:space="preserve"> </w:t>
      </w:r>
      <w:r>
        <w:t xml:space="preserve">difference in the</w:t>
      </w:r>
      <w:r>
        <w:t xml:space="preserve"> </w:t>
      </w:r>
      <w:r>
        <w:t xml:space="preserve">treatment of near-insulating contact layers, not a solver limitation:</w:t>
      </w:r>
      <w:r>
        <w:t xml:space="preserve"> </w:t>
      </w:r>
      <w:r>
        <w:t xml:space="preserve">the premise that a direct steady-state solve would recover SCAPS’s</w:t>
      </w:r>
      <w:r>
        <w:t xml:space="preserve"> </w:t>
      </w:r>
      <w:r>
        <w:t xml:space="preserve">low-doping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falsified by having built exactly that. The same</w:t>
      </w:r>
      <w:r>
        <w:t xml:space="preserve"> </w:t>
      </w:r>
      <w:r>
        <w:t xml:space="preserve">conclusion extends to the other open items: all remaining differences</w:t>
      </w:r>
      <w:r>
        <w:t xml:space="preserve"> </w:t>
      </w:r>
      <w:r>
        <w:t xml:space="preserve">trace to SCAPS-specific model conventions (its interface-plane carrier</w:t>
      </w:r>
      <w:r>
        <w:t xml:space="preserve"> </w:t>
      </w:r>
      <w:r>
        <w:t xml:space="preserve">states and contact treatment), which would require reproducing those</w:t>
      </w:r>
      <w:r>
        <w:t xml:space="preserve"> </w:t>
      </w:r>
      <w:r>
        <w:t xml:space="preserve">conventions explicitly rather than further numerical work.</w:t>
      </w:r>
    </w:p>
    <w:bookmarkEnd w:id="37"/>
    <w:bookmarkStart w:id="38" w:name="X7a615725524da910d3ec6913c3140bbd1c9963c"/>
    <w:p>
      <w:pPr>
        <w:pStyle w:val="Heading2"/>
      </w:pPr>
      <w:r>
        <w:t xml:space="preserve">5.z Update: the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absolute — root cause and the faithful-vs-emulation choice (2026-06-13)</w:t>
      </w:r>
    </w:p>
    <w:p>
      <w:pPr>
        <w:pStyle w:val="FirstParagraph"/>
      </w:pPr>
      <w:r>
        <w:t xml:space="preserve">The residual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 (SolarLab below SCAPS) was attributed throughout</w:t>
      </w:r>
      <w:r>
        <w:t xml:space="preserve"> </w:t>
      </w:r>
      <w:r>
        <w:t xml:space="preserve">this work to</w:t>
      </w:r>
      <w:r>
        <w:t xml:space="preserve"> </w:t>
      </w:r>
      <w:r>
        <w:rPr>
          <w:iCs/>
          <w:i/>
        </w:rPr>
        <w:t xml:space="preserve">interface recombination</w:t>
      </w:r>
      <w:r>
        <w:t xml:space="preserve">. A direct decomposition of the</w:t>
      </w:r>
      <w:r>
        <w:t xml:space="preserve"> </w:t>
      </w:r>
      <w:r>
        <w:t xml:space="preserve">recombination current at the operating point overturns that attribution: the</w:t>
      </w:r>
      <w:r>
        <w:t xml:space="preserve"> </w:t>
      </w:r>
      <w:r>
        <w:t xml:space="preserve">dominant loss is</w:t>
      </w:r>
      <w:r>
        <w:t xml:space="preserve"> </w:t>
      </w:r>
      <w:r>
        <w:rPr>
          <w:bCs/>
          <w:b/>
        </w:rPr>
        <w:t xml:space="preserve">Auger recombination</w:t>
      </w:r>
      <w:r>
        <w:t xml:space="preserve"> </w:t>
      </w:r>
      <w:r>
        <w:t xml:space="preserve">(about 105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recombination</w:t>
      </w:r>
      <w:r>
        <w:t xml:space="preserve"> </w:t>
      </w:r>
      <w:r>
        <w:t xml:space="preserve">current, versus about 26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interface channel and a negligible bulk SRH</w:t>
      </w:r>
      <w:r>
        <w:t xml:space="preserve"> </w:t>
      </w:r>
      <w:r>
        <w:t xml:space="preserve">contribution). The base offset is therefore an</w:t>
      </w:r>
      <w:r>
        <w:t xml:space="preserve"> </w:t>
      </w:r>
      <w:r>
        <w:rPr>
          <w:iCs/>
          <w:i/>
        </w:rPr>
        <w:t xml:space="preserve">absorber</w:t>
      </w:r>
      <w:r>
        <w:t xml:space="preserve"> </w:t>
      </w:r>
      <w:r>
        <w:t xml:space="preserve">effect, not an</w:t>
      </w:r>
      <w:r>
        <w:t xml:space="preserve"> </w:t>
      </w:r>
      <w:r>
        <w:t xml:space="preserve">interface effect.</w:t>
      </w:r>
    </w:p>
    <w:p>
      <w:pPr>
        <w:pStyle w:val="BodyText"/>
      </w:pPr>
      <w:r>
        <w:t xml:space="preserve">The Auger loss concentrates at the HTL/PVK heterojunction. The 0.18 eV</w:t>
      </w:r>
      <w:r>
        <w:t xml:space="preserve"> </w:t>
      </w:r>
      <w:r>
        <w:t xml:space="preserve">valence-band offset there produces a Boltzmann hole accumulation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exp(ΔE_v/kT)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at the junction; since the Auger rate scales as</w:t>
      </w:r>
      <w:r>
        <w:t xml:space="preserve"> </w:t>
      </w:r>
      <w:r>
        <w:rPr>
          <w:rStyle w:val="VerbatimChar"/>
        </w:rPr>
        <w:t xml:space="preserve">c_p · p² · n</w:t>
      </w:r>
      <w:r>
        <w:t xml:space="preserve">, that accumulation dominates the absorber’s Auger loss. Both</w:t>
      </w:r>
      <w:r>
        <w:t xml:space="preserve"> </w:t>
      </w:r>
      <w:r>
        <w:t xml:space="preserve">codes use the identical Auger coefficient and rate formula (audit-confirmed),</w:t>
      </w:r>
      <w:r>
        <w:t xml:space="preserve"> </w:t>
      </w:r>
      <w:r>
        <w:t xml:space="preserve">so the difference is the</w:t>
      </w:r>
      <w:r>
        <w:t xml:space="preserve"> </w:t>
      </w:r>
      <w:r>
        <w:rPr>
          <w:iCs/>
          <w:i/>
        </w:rPr>
        <w:t xml:space="preserve">carrier density</w:t>
      </w:r>
      <w:r>
        <w:t xml:space="preserve">: SolarLab’s effective-density-of-</w:t>
      </w:r>
      <w:r>
        <w:t xml:space="preserve"> </w:t>
      </w:r>
      <w:r>
        <w:t xml:space="preserve">states correction (</w:t>
      </w:r>
      <w:r>
        <w:rPr>
          <w:rStyle w:val="VerbatimChar"/>
        </w:rPr>
        <w:t xml:space="preserve">dos_band_potentials</w:t>
      </w:r>
      <w:r>
        <w:t xml:space="preserve">, the term that fixed the larger</w:t>
      </w:r>
      <w:r>
        <w:t xml:space="preserve"> </w:t>
      </w:r>
      <w:r>
        <w:t xml:space="preserve">quasi-Fermi-level discrepancy) raises the interface hole density that SCAPS,</w:t>
      </w:r>
      <w:r>
        <w:t xml:space="preserve"> </w:t>
      </w:r>
      <w:r>
        <w:t xml:space="preserve">lacking that correction, does not carry. SolarLab consequently models a larger —</w:t>
      </w:r>
      <w:r>
        <w:t xml:space="preserve"> </w:t>
      </w:r>
      <w:r>
        <w:t xml:space="preserve">and arguably more complete — Auger loss.</w:t>
      </w:r>
    </w:p>
    <w:p>
      <w:pPr>
        <w:pStyle w:val="BodyText"/>
      </w:pPr>
      <w:r>
        <w:t xml:space="preserve">This produces a genuine, non-removable tension between two legitimate goals: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</w:p>
        </w:tc>
        <w:tc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Most-faithful physics</w:t>
            </w:r>
            <w:r>
              <w:t xml:space="preserve"> </w:t>
            </w:r>
            <w:r>
              <w:t xml:space="preserve">(default)</w:t>
            </w:r>
          </w:p>
        </w:tc>
        <w:tc>
          <w:p>
            <w:pPr>
              <w:pStyle w:val="Compact"/>
              <w:jc w:val="left"/>
            </w:pPr>
            <w:r>
              <w:t xml:space="preserve">1.12–1.13 V</w:t>
            </w:r>
          </w:p>
        </w:tc>
        <w:tc>
          <w:p>
            <w:pPr>
              <w:pStyle w:val="Compact"/>
              <w:jc w:val="left"/>
            </w:pPr>
            <w:r>
              <w:t xml:space="preserve">effective-DOS transport + interface-plane recombination; sits at the</w:t>
            </w:r>
            <w:r>
              <w:t xml:space="preserve"> </w:t>
            </w:r>
            <w:r>
              <w:rPr>
                <w:bCs/>
                <w:b/>
              </w:rPr>
              <w:t xml:space="preserve">measured-device median</w:t>
            </w:r>
            <w:r>
              <w:t xml:space="preserve"> </w:t>
            </w:r>
            <w:r>
              <w:t xml:space="preserve">(1.05–1.13 V) for this MAPbI</w:t>
            </w:r>
            <w:r>
              <w:rPr>
                <w:vertAlign w:val="subscript"/>
              </w:rPr>
              <w:t xml:space="preserve">3</w:t>
            </w:r>
            <w:r>
              <w:t xml:space="preserve">/spiro/TiO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SCAPS reproduction</w:t>
            </w:r>
            <w:r>
              <w:t xml:space="preserve"> </w:t>
            </w:r>
            <w:r>
              <w:t xml:space="preserve">(explicit flag)</w:t>
            </w:r>
          </w:p>
        </w:tc>
        <w:tc>
          <w:p>
            <w:pPr>
              <w:pStyle w:val="Compact"/>
              <w:jc w:val="left"/>
            </w:pPr>
            <w:r>
              <w:t xml:space="preserve">1.168 V</w:t>
            </w:r>
          </w:p>
        </w:tc>
        <w:tc>
          <w:p>
            <w:pPr>
              <w:pStyle w:val="Compact"/>
              <w:jc w:val="left"/>
            </w:pPr>
            <w:r>
              <w:t xml:space="preserve">reproduces SCAPS by emulating its interface-Auger convention</w:t>
            </w:r>
          </w:p>
        </w:tc>
      </w:tr>
    </w:tbl>
    <w:p>
      <w:pPr>
        <w:pStyle w:val="BodyText"/>
      </w:pPr>
      <w:r>
        <w:t xml:space="preserve">Five independent fit-free configurations all place SolarLab’s faithful base at</w:t>
      </w:r>
      <w:r>
        <w:t xml:space="preserve"> </w:t>
      </w:r>
      <w:r>
        <w:t xml:space="preserve">1.12–1.13 V; SCAPS’s 1.168 V is reachable only by an explicit emulation setting.</w:t>
      </w:r>
      <w:r>
        <w:t xml:space="preserve"> </w:t>
      </w:r>
      <w:r>
        <w:t xml:space="preserve">SCAPS’s value sits at the published champion ceiling rather than the device</w:t>
      </w:r>
      <w:r>
        <w:t xml:space="preserve"> </w:t>
      </w:r>
      <w:r>
        <w:t xml:space="preserve">median, so SolarLab’s lower base is the more device-realistic figure. We</w:t>
      </w:r>
      <w:r>
        <w:t xml:space="preserve"> </w:t>
      </w:r>
      <w:r>
        <w:t xml:space="preserve">therefore ship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modes: the faithful physics as the default, and a</w:t>
      </w:r>
      <w:r>
        <w:t xml:space="preserve"> </w:t>
      </w:r>
      <w:r>
        <w:t xml:space="preserve">flag-gated SCAPS-emulation correction (</w:t>
      </w:r>
      <w:r>
        <w:rPr>
          <w:rStyle w:val="VerbatimChar"/>
        </w:rPr>
        <w:t xml:space="preserve">het_recomb_despike</w:t>
      </w:r>
      <w:r>
        <w:t xml:space="preserve">) for partner</w:t>
      </w:r>
      <w:r>
        <w:t xml:space="preserve"> </w:t>
      </w:r>
      <w:r>
        <w:t xml:space="preserve">cross-validation, which recovers the SCAPS base to within 1 mV and, as a</w:t>
      </w:r>
      <w:r>
        <w:t xml:space="preserve"> </w:t>
      </w:r>
      <w:r>
        <w:t xml:space="preserve">by-product, tightens five trend magnitudes (CBO 80→85 %,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11→69 %,</w:t>
      </w:r>
      <w:r>
        <w:t xml:space="preserve"> </w:t>
      </w:r>
      <w:r>
        <w:t xml:space="preserve">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53→72 %).</w:t>
      </w:r>
    </w:p>
    <w:p>
      <w:pPr>
        <w:pStyle w:val="BodyText"/>
      </w:pPr>
      <w:r>
        <w:t xml:space="preserve">Two of the eleven sweeps — ETL donor doping and the HTL/PVK interface</w:t>
      </w:r>
      <w:r>
        <w:t xml:space="preserve"> </w:t>
      </w:r>
      <w:r>
        <w:t xml:space="preserve">defect density — reverse or flatten in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on the fast transient path,</w:t>
      </w:r>
      <w:r>
        <w:t xml:space="preserve"> </w:t>
      </w:r>
      <w:r>
        <w:t xml:space="preserve">because that path samples interface recombination at bulk grid nodes rather</w:t>
      </w:r>
      <w:r>
        <w:t xml:space="preserve"> </w:t>
      </w:r>
      <w:r>
        <w:t xml:space="preserve">than the interface plane. Routing those sweeps through the steady-state driver</w:t>
      </w:r>
      <w:r>
        <w:t xml:space="preserve"> </w:t>
      </w:r>
      <w:r>
        <w:t xml:space="preserve">with explicit interface-plane carrier states recovers the correct direction:</w:t>
      </w:r>
      <w:r>
        <w:t xml:space="preserve"> </w:t>
      </w:r>
      <w:r>
        <w:t xml:space="preserve">the ETL-doping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 (+105 mV measured versus SCAPS’s +48,</w:t>
      </w:r>
      <w:r>
        <w:t xml:space="preserve"> </w:t>
      </w:r>
      <w:r>
        <w:t xml:space="preserve">direction matched) and the HTL/PVK interface response drops with defect density</w:t>
      </w:r>
      <w:r>
        <w:t xml:space="preserve"> </w:t>
      </w:r>
      <w:r>
        <w:t xml:space="preserve">(−29 mV versus SCAPS’s −5, direction matched). With the interface-plane states</w:t>
      </w:r>
      <w:r>
        <w:t xml:space="preserve"> </w:t>
      </w:r>
      <w:r>
        <w:t xml:space="preserve">active,</w:t>
      </w:r>
      <w:r>
        <w:t xml:space="preserve"> </w:t>
      </w:r>
      <w:r>
        <w:rPr>
          <w:bCs/>
          <w:b/>
        </w:rPr>
        <w:t xml:space="preserve">all eleven sweep directions reproduce SCAPS</w:t>
      </w:r>
      <w:r>
        <w:t xml:space="preserve">; the two recovered</w:t>
      </w:r>
      <w:r>
        <w:t xml:space="preserve"> </w:t>
      </w:r>
      <w:r>
        <w:t xml:space="preserve">sweeps then over-respond in magnitude (the interface-plane channel is</w:t>
      </w:r>
      <w:r>
        <w:t xml:space="preserve"> </w:t>
      </w:r>
      <w:r>
        <w:t xml:space="preserve">over-strong — its carrier-density calibration is the named residual, scoped to</w:t>
      </w:r>
      <w:r>
        <w:t xml:space="preserve"> </w:t>
      </w:r>
      <w:r>
        <w:t xml:space="preserve">the steady-state interface-physics 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trends</w:t>
      </w:r>
      <w:r>
        <w:t xml:space="preserve"> </w:t>
      </w:r>
      <w:r>
        <w:t xml:space="preserve">therefore reproduce faithfully — every sweep direction</w:t>
      </w:r>
      <w:r>
        <w:t xml:space="preserve"> </w:t>
      </w:r>
      <w:r>
        <w:t xml:space="preserve">matches (the two interface-doping sweeps via the interface-plane states above),</w:t>
      </w:r>
      <w:r>
        <w:t xml:space="preserve"> </w:t>
      </w:r>
      <w:r>
        <w:t xml:space="preserve">with magnitudes at 53–87 % of SCAPS; the residual magnitude gap is SCAPS’s</w:t>
      </w:r>
      <w:r>
        <w:t xml:space="preserve"> </w:t>
      </w:r>
      <w:r>
        <w:t xml:space="preserve">specific thermionic-emission /</w:t>
      </w:r>
      <w:r>
        <w:t xml:space="preserve"> </w:t>
      </w:r>
      <w:r>
        <w:t xml:space="preserve">Pauwels-Vanhoutte interface convention. Only the base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requires the</w:t>
      </w:r>
      <w:r>
        <w:t xml:space="preserve"> </w:t>
      </w:r>
      <w:r>
        <w:t xml:space="preserve">faithful-versus-emulation choice above.</w:t>
      </w:r>
    </w:p>
    <w:bookmarkEnd w:id="38"/>
    <w:bookmarkEnd w:id="39"/>
    <w:bookmarkStart w:id="40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every sweep trend reproduces in</w:t>
      </w:r>
      <w:r>
        <w:t xml:space="preserve"> </w:t>
      </w:r>
      <w:r>
        <w:t xml:space="preserve">direction, six of eleven matching SCAPS in magnitude with the remainder partial,</w:t>
      </w:r>
      <w:r>
        <w:t xml:space="preserve"> </w:t>
      </w:r>
      <w:r>
        <w:t xml:space="preserve">and the base operating point agreeing with 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the</w:t>
      </w:r>
      <w:r>
        <w:t xml:space="preserve"> </w:t>
      </w:r>
      <w:r>
        <w:t xml:space="preserve">faithful default mode (to within 1 mV in the SCAPS-emulation mode of Section</w:t>
      </w:r>
      <w:r>
        <w:t xml:space="preserve"> </w:t>
      </w:r>
      <w:r>
        <w:t xml:space="preserve">5.z). The base offset is now root-caused to absorber Auger recombination at the</w:t>
      </w:r>
      <w:r>
        <w:t xml:space="preserve"> </w:t>
      </w:r>
      <w:r>
        <w:t xml:space="preserve">HTL/PVK band offset (Section 5.z), not the interface channel as previously</w:t>
      </w:r>
      <w:r>
        <w:t xml:space="preserve"> </w:t>
      </w:r>
      <w:r>
        <w:t xml:space="preserve">believed; SolarLab’s faithful base sits at the measured-device median while</w:t>
      </w:r>
      <w:r>
        <w:t xml:space="preserve"> </w:t>
      </w:r>
      <w:r>
        <w:t xml:space="preserve">SCAPS sits at the champion ceiling, so the two are reconciled by an explicit,</w:t>
      </w:r>
      <w:r>
        <w:t xml:space="preserve"> </w:t>
      </w:r>
      <w:r>
        <w:t xml:space="preserve">flag-gated emulation rather than by degrading either model. Every physically</w:t>
      </w:r>
      <w:r>
        <w:t xml:space="preserve"> </w:t>
      </w:r>
      <w:r>
        <w:t xml:space="preserve">well-posed result 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first structural step toward closing it — the interface-plane closure of</w:t>
      </w:r>
      <w:r>
        <w:t xml:space="preserve"> </w:t>
      </w:r>
      <w:r>
        <w:t xml:space="preserve">Section 5.x — is now in the codebase behind an explicit flag and improves the</w:t>
      </w:r>
      <w:r>
        <w:t xml:space="preserve"> </w:t>
      </w:r>
      <w:r>
        <w:t xml:space="preserve">HTL/PVK interface response from flat to 70 % of SCAPS without degrading any</w:t>
      </w:r>
      <w:r>
        <w:t xml:space="preserve"> </w:t>
      </w:r>
      <w:r>
        <w:t xml:space="preserve">matched trend. That steady-state solve has since been built (Section 5.y): the two</w:t>
      </w:r>
      <w:r>
        <w:t xml:space="preserve"> </w:t>
      </w:r>
      <w:r>
        <w:t xml:space="preserve">solution methods now cross-validate within 5 mV, the voltage-grid artefact is</w:t>
      </w:r>
      <w:r>
        <w:t xml:space="preserve"> </w:t>
      </w:r>
      <w:r>
        <w:t xml:space="preserve">eliminated, and the low-doping arm is settled as a model-convention</w:t>
      </w:r>
      <w:r>
        <w:t xml:space="preserve"> </w:t>
      </w:r>
      <w:r>
        <w:t xml:space="preserve">difference rather than a solver limitation. The remaining open items (ETL</w:t>
      </w:r>
      <w:r>
        <w:t xml:space="preserve"> </w:t>
      </w:r>
      <w:r>
        <w:t xml:space="preserve">doping arm, PVK/ETL trap-energy magnitude, residual base offset) all trace to</w:t>
      </w:r>
      <w:r>
        <w:t xml:space="preserve"> </w:t>
      </w:r>
      <w:r>
        <w:t xml:space="preserve">SCAPS-specific model conventions — reproducing them is a well-scoped, separate</w:t>
      </w:r>
      <w:r>
        <w:t xml:space="preserve"> </w:t>
      </w:r>
      <w:r>
        <w:t xml:space="preserve">undertaking should closer absolute agreement be required. The transient</w:t>
      </w:r>
      <w:r>
        <w:t xml:space="preserve"> </w:t>
      </w:r>
      <w:r>
        <w:t xml:space="preserve">ion-migration capability — which SCAPS does not offer — is unaffected</w:t>
      </w:r>
      <w:r>
        <w:t xml:space="preserve"> </w:t>
      </w:r>
      <w:r>
        <w:t xml:space="preserve">throughout.</w:t>
      </w:r>
    </w:p>
    <w:bookmarkEnd w:id="40"/>
    <w:bookmarkStart w:id="41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41"/>
    <w:bookmarkStart w:id="42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65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over-responds (less 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 Note the</w:t>
      </w:r>
      <w:r>
        <w:t xml:space="preserve"> </w:t>
      </w:r>
      <w:r>
        <w:t xml:space="preserve">bulk-N</w:t>
      </w:r>
      <w:r>
        <w:rPr>
          <w:vertAlign w:val="subscript"/>
        </w:rPr>
        <w:t xml:space="preserve">t</w:t>
      </w:r>
      <w:r>
        <w:t xml:space="preserve"> </w:t>
      </w:r>
      <w:r>
        <w:t xml:space="preserve">sweep</w:t>
      </w:r>
      <w:r>
        <w:t xml:space="preserve"> </w:t>
      </w:r>
      <w:r>
        <w:rPr>
          <w:iCs/>
          <w:i/>
        </w:rPr>
        <w:t xml:space="preserve">over</w:t>
      </w:r>
      <w:r>
        <w:t xml:space="preserve">-responds with the transport correction off (65 mV vs the</w:t>
      </w:r>
      <w:r>
        <w:t xml:space="preserve"> </w:t>
      </w:r>
      <w:r>
        <w:t xml:space="preserve">SCAPS 39/11 mV): the lower flag-off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sits further from the</w:t>
      </w:r>
      <w:r>
        <w:t xml:space="preserve"> </w:t>
      </w:r>
      <w:r>
        <w:t xml:space="preserve">interface-recombination ceiling, so the bulk traps are less masked there — the</w:t>
      </w:r>
      <w:r>
        <w:t xml:space="preserve"> </w:t>
      </w:r>
      <w:r>
        <w:t xml:space="preserve">corrected-configuration 4 mV (Table 2) is the physically consistent value.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7" Target="media/rId27.png" /><Relationship Type="http://schemas.openxmlformats.org/officeDocument/2006/relationships/image" Id="rId25" Target="media/rId25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</dc:title>
  <dc:creator/>
  <cp:keywords/>
  <dcterms:created xsi:type="dcterms:W3CDTF">2026-06-13T19:53:52Z</dcterms:created>
  <dcterms:modified xsi:type="dcterms:W3CDTF">2026-06-13T19:53:52Z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