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1.png" ContentType="image/png"/>
  <Override PartName="/word/media/rId33.png" ContentType="image/png"/>
  <Override PartName="/word/media/rId26.png" ContentType="image/png"/>
  <Override PartName="/word/media/rId32.png" ContentType="image/png"/>
  <Override PartName="/word/media/rId28.png" ContentType="image/png"/>
  <Override PartName="/word/media/rId34.png" ContentType="image/png"/>
  <Override PartName="/word/media/rId29.png" ContentType="image/png"/>
  <Override PartName="/word/media/rId27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SolarLab</w:t>
      </w:r>
      <w:r>
        <w:t xml:space="preserve"> </w:t>
      </w:r>
      <w:r>
        <w:t xml:space="preserve">Device</w:t>
      </w:r>
      <w:r>
        <w:t xml:space="preserve"> </w:t>
      </w:r>
      <w:r>
        <w:t xml:space="preserve">Simulator</w:t>
      </w:r>
      <w:r>
        <w:t xml:space="preserve"> </w:t>
      </w:r>
      <w:r>
        <w:t xml:space="preserve">against</w:t>
      </w:r>
      <w:r>
        <w:t xml:space="preserve"> </w:t>
      </w:r>
      <w:r>
        <w:t xml:space="preserve">SCAPS-1D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report documents the validation of SolarLab — an in-house one-dimensional</w:t>
      </w:r>
      <w:r>
        <w:t xml:space="preserve"> </w:t>
      </w:r>
      <w:r>
        <w:t xml:space="preserve">device simulator coupling drift–diffusion transport, the Poisson equation, and</w:t>
      </w:r>
      <w:r>
        <w:t xml:space="preserve"> </w:t>
      </w:r>
      <w:r>
        <w:t xml:space="preserve">mobile-ion migration with transfer-matrix optics — against the established</w:t>
      </w:r>
      <w:r>
        <w:t xml:space="preserve"> </w:t>
      </w:r>
      <w:r>
        <w:t xml:space="preserve">reference solver SCAPS-1D. The test case is the partner’s three-layer perovskite</w:t>
      </w:r>
      <w:r>
        <w:t xml:space="preserve"> </w:t>
      </w:r>
      <w:r>
        <w:t xml:space="preserve">Base Model, and the comparison spans the base current–voltage operating point</w:t>
      </w:r>
      <w:r>
        <w:t xml:space="preserve"> </w:t>
      </w:r>
      <w:r>
        <w:t xml:space="preserve">together with all eleven single-variable parameter sweeps recorded in the</w:t>
      </w:r>
      <w:r>
        <w:t xml:space="preserve"> </w:t>
      </w:r>
      <w:r>
        <w:t xml:space="preserve">partner workbook. This revision (2026-06-15) supersedes the 2026-06-11 report:</w:t>
      </w:r>
      <w:r>
        <w:t xml:space="preserve"> </w:t>
      </w:r>
      <w:r>
        <w:t xml:space="preserve">since then the dominant open-circuit-voltage discrepancy was root-caused to a</w:t>
      </w:r>
      <w:r>
        <w:t xml:space="preserve"> </w:t>
      </w:r>
      <w:r>
        <w:t xml:space="preserve">missing effective-density-of-states term in the heterojunction transport</w:t>
      </w:r>
      <w:r>
        <w:t xml:space="preserve"> </w:t>
      </w:r>
      <w:r>
        <w:t xml:space="preserve">discretisation, the correction was implemented and verified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), and the validation protocol was refined (denser voltage</w:t>
      </w:r>
      <w:r>
        <w:t xml:space="preserve"> </w:t>
      </w:r>
      <w:r>
        <w:t xml:space="preserve">grid; a detailed-balance-ceiling validity guard on degenerate sweep points). In</w:t>
      </w:r>
      <w:r>
        <w:t xml:space="preserve"> </w:t>
      </w:r>
      <w:r>
        <w:t xml:space="preserve">the corrected configuration the base operating point agrees with SCAPS to</w:t>
      </w:r>
      <w:r>
        <w:t xml:space="preserve"> </w:t>
      </w:r>
      <w:r>
        <w:t xml:space="preserve">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(previously −96 mV), +0.9 percentage points in FF, and −2 %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. Across the eleven sweeps, six match SCAPS (in direction and shape, or</w:t>
      </w:r>
      <w:r>
        <w:t xml:space="preserve"> </w:t>
      </w:r>
      <w:r>
        <w:t xml:space="preserve">flat in both solvers), two match partially, and three remain open; every</w:t>
      </w:r>
      <w:r>
        <w:t xml:space="preserve"> </w:t>
      </w:r>
      <w:r>
        <w:t xml:space="preserve">physically well-posed result satisfies the governing bounds. Notably, the</w:t>
      </w:r>
      <w:r>
        <w:t xml:space="preserve"> </w:t>
      </w:r>
      <w:r>
        <w:t xml:space="preserve">perovskite bulk-defect sweeps — previously flat — now reproduce the SCAPS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/PCE descent in direction after a sweep-wiring defect was found and fixed</w:t>
      </w:r>
      <w:r>
        <w:t xml:space="preserve"> </w:t>
      </w:r>
      <w:r>
        <w:t xml:space="preserve">(Section 5). The remaining open items trace to one named residual — the</w:t>
      </w:r>
      <w:r>
        <w:t xml:space="preserve"> </w:t>
      </w:r>
      <w:r>
        <w:t xml:space="preserve">interface-recombination channel — and are documented rather than tuned away.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SolarLab solves the coupled drift–diffusion and Poisson system for electrons,</w:t>
      </w:r>
      <w:r>
        <w:t xml:space="preserve"> </w:t>
      </w:r>
      <w:r>
        <w:t xml:space="preserve">holes, and mobile ionic species in one spatial dimension, using a</w:t>
      </w:r>
      <w:r>
        <w:t xml:space="preserve"> </w:t>
      </w:r>
      <w:r>
        <w:t xml:space="preserve">Scharfetter–Gummel discretization advanced in time by an implicit Radau</w:t>
      </w:r>
      <w:r>
        <w:t xml:space="preserve"> </w:t>
      </w:r>
      <w:r>
        <w:t xml:space="preserve">integrator, with optical generation supplied by a transfer-matrix (TMM) optical</w:t>
      </w:r>
      <w:r>
        <w:t xml:space="preserve"> </w:t>
      </w:r>
      <w:r>
        <w:t xml:space="preserve">stack. SCAPS-1D is a widely used semiconductor device simulator for thin-film</w:t>
      </w:r>
      <w:r>
        <w:t xml:space="preserve"> </w:t>
      </w:r>
      <w:r>
        <w:t xml:space="preserve">and perovskite cells and serves here as the reference against which SolarLab is</w:t>
      </w:r>
      <w:r>
        <w:t xml:space="preserve"> </w:t>
      </w:r>
      <w:r>
        <w:t xml:space="preserve">benchmarked.</w:t>
      </w:r>
    </w:p>
    <w:p>
      <w:pPr>
        <w:pStyle w:val="BodyText"/>
      </w:pPr>
      <w:r>
        <w:t xml:space="preserve">The validation device is the partner Base Model: a hole-transport layer (spiro,</w:t>
      </w:r>
      <w:r>
        <w:t xml:space="preserve"> </w:t>
      </w:r>
      <w:r>
        <w:t xml:space="preserve">20 nm), a methylammonium lead iodide absorber (MAPbI</w:t>
      </w:r>
      <w:r>
        <w:rPr>
          <w:vertAlign w:val="subscript"/>
        </w:rPr>
        <w:t xml:space="preserve">3</w:t>
      </w:r>
      <w:r>
        <w:t xml:space="preserve">, 800 nm, bandgap</w:t>
      </w:r>
      <w:r>
        <w:t xml:space="preserve"> </w:t>
      </w:r>
      <w:r>
        <w:t xml:space="preserve">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eV), and an electron-transport layer (TiO</w:t>
      </w:r>
      <w:r>
        <w:rPr>
          <w:vertAlign w:val="subscript"/>
        </w:rPr>
        <w:t xml:space="preserve">2</w:t>
      </w:r>
      <w:r>
        <w:t xml:space="preserve">, 25 nm). All material</w:t>
      </w:r>
      <w:r>
        <w:t xml:space="preserve"> </w:t>
      </w:r>
      <w:r>
        <w:t xml:space="preserve">and defect parameters, and the reference sweep data, are taken from the partner</w:t>
      </w:r>
      <w:r>
        <w:t xml:space="preserve"> </w:t>
      </w:r>
      <w:r>
        <w:t xml:space="preserve">workbook</w:t>
      </w:r>
      <w:r>
        <w:t xml:space="preserve"> </w:t>
      </w:r>
      <w:r>
        <w:rPr>
          <w:rStyle w:val="VerbatimChar"/>
        </w:rPr>
        <w:t xml:space="preserve">1R-Parameters.xlsx</w:t>
      </w:r>
      <w:r>
        <w:t xml:space="preserve">.</w:t>
      </w:r>
    </w:p>
    <w:p>
      <w:pPr>
        <w:pStyle w:val="BodyText"/>
      </w:pPr>
      <w:r>
        <w:t xml:space="preserve">The validation philosophy prioritizes trend fidelity and physical validity over</w:t>
      </w:r>
      <w:r>
        <w:t xml:space="preserve"> </w:t>
      </w:r>
      <w:r>
        <w:t xml:space="preserve">absolute numerical coincidence. A device simulator earns confidence first by</w:t>
      </w:r>
      <w:r>
        <w:t xml:space="preserve"> </w:t>
      </w:r>
      <w:r>
        <w:t xml:space="preserve">reproducing the</w:t>
      </w:r>
      <w:r>
        <w:t xml:space="preserve"> </w:t>
      </w:r>
      <w:r>
        <w:rPr>
          <w:iCs/>
          <w:i/>
        </w:rPr>
        <w:t xml:space="preserve">direction and shape</w:t>
      </w:r>
      <w:r>
        <w:t xml:space="preserve"> </w:t>
      </w:r>
      <w:r>
        <w:t xml:space="preserve">of a cell’s response to each design</w:t>
      </w:r>
      <w:r>
        <w:t xml:space="preserve"> </w:t>
      </w:r>
      <w:r>
        <w:t xml:space="preserve">parameter, and by never violating the conservation laws and detailed-balance</w:t>
      </w:r>
      <w:r>
        <w:t xml:space="preserve"> </w:t>
      </w:r>
      <w:r>
        <w:t xml:space="preserve">bounds that constrain any physical device. Absolute figures of merit are</w:t>
      </w:r>
      <w:r>
        <w:t xml:space="preserve"> </w:t>
      </w:r>
      <w:r>
        <w:t xml:space="preserve">expected to approach the reference but need not coincide, particularly where the</w:t>
      </w:r>
      <w:r>
        <w:t xml:space="preserve"> </w:t>
      </w:r>
      <w:r>
        <w:t xml:space="preserve">two solvers make different but individually defensible modelling choices. This</w:t>
      </w:r>
      <w:r>
        <w:t xml:space="preserve"> </w:t>
      </w:r>
      <w:r>
        <w:t xml:space="preserve">report applies that standard throughout.</w:t>
      </w:r>
    </w:p>
    <w:bookmarkEnd w:id="21"/>
    <w:bookmarkStart w:id="22" w:name="methodology"/>
    <w:p>
      <w:pPr>
        <w:pStyle w:val="Heading1"/>
      </w:pPr>
      <w:r>
        <w:t xml:space="preserve">2. Methodology</w:t>
      </w:r>
    </w:p>
    <w:p>
      <w:pPr>
        <w:pStyle w:val="FirstParagraph"/>
      </w:pPr>
      <w:r>
        <w:t xml:space="preserve">SolarLab mirrors the SCAPS Base Model through the</w:t>
      </w:r>
      <w:r>
        <w:t xml:space="preserve"> </w:t>
      </w:r>
      <w:r>
        <w:rPr>
          <w:rStyle w:val="VerbatimChar"/>
        </w:rPr>
        <w:t xml:space="preserve">scaps_mirror_v2.yaml</w:t>
      </w:r>
      <w:r>
        <w:t xml:space="preserve"> </w:t>
      </w:r>
      <w:r>
        <w:t xml:space="preserve">device</w:t>
      </w:r>
      <w:r>
        <w:t xml:space="preserve"> </w:t>
      </w:r>
      <w:r>
        <w:t xml:space="preserve">definition (partner layer stack, doping, mobilities, defect levels, optical</w:t>
      </w:r>
      <w:r>
        <w:t xml:space="preserve"> </w:t>
      </w:r>
      <w:r>
        <w:t xml:space="preserve">constants, and a glass front substrate completing the optical stack). Each of</w:t>
      </w:r>
      <w:r>
        <w:t xml:space="preserve"> </w:t>
      </w:r>
      <w:r>
        <w:t xml:space="preserve">the eleven single-variable sweeps varies one parameter across the workbook range</w:t>
      </w:r>
      <w:r>
        <w:t xml:space="preserve"> </w:t>
      </w:r>
      <w:r>
        <w:t xml:space="preserve">while holding all others fixed, and the figures of merit (V</w:t>
      </w:r>
      <w:r>
        <w:rPr>
          <w:vertAlign w:val="subscript"/>
        </w:rPr>
        <w:t xml:space="preserve">oc</w:t>
      </w:r>
      <w:r>
        <w:t xml:space="preserve">, J</w:t>
      </w:r>
      <w:r>
        <w:rPr>
          <w:vertAlign w:val="subscript"/>
        </w:rPr>
        <w:t xml:space="preserve">sc</w:t>
      </w:r>
      <w:r>
        <w:t xml:space="preserve">, FF, PCE)</w:t>
      </w:r>
      <w:r>
        <w:t xml:space="preserve"> </w:t>
      </w:r>
      <w:r>
        <w:t xml:space="preserve">are compared directly against the SCAPS values.</w:t>
      </w:r>
    </w:p>
    <w:p>
      <w:pPr>
        <w:pStyle w:val="BodyText"/>
      </w:pPr>
      <w:r>
        <w:t xml:space="preserve">Two protocol elements were corrected since the previous revision. First, the</w:t>
      </w:r>
      <w:r>
        <w:t xml:space="preserve"> </w:t>
      </w:r>
      <w:r>
        <w:t xml:space="preserve">voltage grid: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extracted by interpolating the J–V zero crossing, and the</w:t>
      </w:r>
      <w:r>
        <w:t xml:space="preserve"> </w:t>
      </w:r>
      <w:r>
        <w:t xml:space="preserve">previous 20-point grid’s linear interpolation across the exponential diode knee</w:t>
      </w:r>
      <w:r>
        <w:t xml:space="preserve"> </w:t>
      </w:r>
      <w:r>
        <w:t xml:space="preserve">under-read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by 10–16 mV; the pipeline now uses a 40-point grid, verified</w:t>
      </w:r>
      <w:r>
        <w:t xml:space="preserve"> </w:t>
      </w:r>
      <w:r>
        <w:t xml:space="preserve">against a steady-state bisection. Second, a physical-validity guard: sweep</w:t>
      </w:r>
      <w:r>
        <w:t xml:space="preserve"> </w:t>
      </w:r>
      <w:r>
        <w:t xml:space="preserve">points whose extracted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reaches the absorber’s detailed-balance</w:t>
      </w:r>
      <w:r>
        <w:t xml:space="preserve"> </w:t>
      </w:r>
      <w:r>
        <w:t xml:space="preserve">(radiative-limit) ceiling — which no physical curve can cross — are flagged as</w:t>
      </w:r>
      <w:r>
        <w:t xml:space="preserve"> </w:t>
      </w:r>
      <w:r>
        <w:t xml:space="preserve">degenerate and excluded from trend statistics, while remaining visible in the</w:t>
      </w:r>
      <w:r>
        <w:t xml:space="preserve"> </w:t>
      </w:r>
      <w:r>
        <w:t xml:space="preserve">figures; this concerns the two lowest ETL-doping points, where the</w:t>
      </w:r>
      <w:r>
        <w:t xml:space="preserve"> </w:t>
      </w:r>
      <w:r>
        <w:t xml:space="preserve">essentially-undoped ETL cannot form a junction and the J–V collapses</w:t>
      </w:r>
      <w:r>
        <w:t xml:space="preserve"> </w:t>
      </w:r>
      <w:r>
        <w:t xml:space="preserve">(FF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0.3–0.6).</w:t>
      </w:r>
    </w:p>
    <w:p>
      <w:pPr>
        <w:pStyle w:val="BodyText"/>
      </w:pPr>
      <w:r>
        <w:t xml:space="preserve">The headline configuration adds the</w:t>
      </w:r>
      <w:r>
        <w:t xml:space="preserve"> 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transport correction</w:t>
      </w:r>
      <w:r>
        <w:t xml:space="preserve"> </w:t>
      </w:r>
      <w:r>
        <w:t xml:space="preserve">(Section 5): with Boltzmann statistics the heterostructure drift-diffusion</w:t>
      </w:r>
      <w:r>
        <w:t xml:space="preserve"> </w:t>
      </w:r>
      <w:r>
        <w:t xml:space="preserve">potentials carry effective-density-of-states terms (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) that the discretisation previously omitted, imposing a spurious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quasi-Fermi-level step at each heterojunction</w:t>
      </w:r>
      <w:r>
        <w:t xml:space="preserve"> </w:t>
      </w:r>
      <w:r>
        <w:t xml:space="preserve">(137 mV total on this stack). The correction is exact, parameter-free, and</w:t>
      </w:r>
      <w:r>
        <w:t xml:space="preserve"> </w:t>
      </w:r>
      <w:r>
        <w:t xml:space="preserve">verified against the analytic detailed-balance ceiling; the flag-off reference</w:t>
      </w:r>
      <w:r>
        <w:t xml:space="preserve"> </w:t>
      </w:r>
      <w:r>
        <w:t xml:space="preserve">results are tabulated in Appendix B.</w:t>
      </w:r>
    </w:p>
    <w:p>
      <w:pPr>
        <w:pStyle w:val="BodyText"/>
      </w:pPr>
      <w:r>
        <w:t xml:space="preserve">Every simulation is checked against physical gates: J</w:t>
      </w:r>
      <w:r>
        <w:rPr>
          <w:vertAlign w:val="subscript"/>
        </w:rPr>
        <w:t xml:space="preserve">sc</w:t>
      </w:r>
      <w:r>
        <w:t xml:space="preserve"> </w:t>
      </w:r>
      <w:r>
        <w:t xml:space="preserve">below the</w:t>
      </w:r>
      <w:r>
        <w:t xml:space="preserve"> </w:t>
      </w:r>
      <w:r>
        <w:t xml:space="preserve">Shockley–Queisser limit for 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eV;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below the detailed-balance</w:t>
      </w:r>
      <w:r>
        <w:t xml:space="preserve"> </w:t>
      </w:r>
      <w:r>
        <w:t xml:space="preserve">ceiling; non-negative recombination at illuminated forward bias; and optical</w:t>
      </w:r>
      <w:r>
        <w:t xml:space="preserve"> </w:t>
      </w:r>
      <w:r>
        <w:t xml:space="preserve">balance R + T + A = 1.</w:t>
      </w:r>
    </w:p>
    <w:bookmarkEnd w:id="22"/>
    <w:bookmarkStart w:id="23" w:name="base-operating-point"/>
    <w:p>
      <w:pPr>
        <w:pStyle w:val="Heading1"/>
      </w:pPr>
      <w:r>
        <w:t xml:space="preserve">3. Base operating point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SolarLab 2026-05-29</w:t>
            </w:r>
          </w:p>
        </w:tc>
        <w:tc>
          <w:p>
            <w:pPr>
              <w:pStyle w:val="Compact"/>
              <w:jc w:val="left"/>
            </w:pPr>
            <w:r>
              <w:t xml:space="preserve">SolarLab corrected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  <w:tc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(V)</w:t>
            </w:r>
          </w:p>
        </w:tc>
        <w:tc>
          <w:p>
            <w:pPr>
              <w:pStyle w:val="Compact"/>
              <w:jc w:val="left"/>
            </w:pPr>
            <w:r>
              <w:t xml:space="preserve">1.072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1.118</w:t>
            </w:r>
          </w:p>
        </w:tc>
        <w:tc>
          <w:p>
            <w:pPr>
              <w:pStyle w:val="Compact"/>
              <w:jc w:val="left"/>
            </w:pPr>
            <w:r>
              <w:t xml:space="preserve">1.168</w:t>
            </w:r>
          </w:p>
        </w:tc>
        <w:tc>
          <w:p>
            <w:pPr>
              <w:pStyle w:val="Compact"/>
              <w:jc w:val="left"/>
            </w:pPr>
            <w:r>
              <w:t xml:space="preserve">−50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  <w:r>
              <w:rPr>
                <w:vertAlign w:val="subscript"/>
              </w:rPr>
              <w:t xml:space="preserve">sc</w:t>
            </w:r>
            <w:r>
              <w:t xml:space="preserve"> </w:t>
            </w:r>
            <w:r>
              <w:t xml:space="preserve">(mA/cm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25.73</w:t>
            </w:r>
          </w:p>
        </w:tc>
        <w:tc>
          <w:p>
            <w:pPr>
              <w:pStyle w:val="Compact"/>
              <w:jc w:val="left"/>
            </w:pPr>
            <w:r>
              <w:t xml:space="preserve">25.70</w:t>
            </w:r>
          </w:p>
        </w:tc>
        <w:tc>
          <w:p>
            <w:pPr>
              <w:pStyle w:val="Compact"/>
              <w:jc w:val="left"/>
            </w:pPr>
            <w:r>
              <w:t xml:space="preserve">26.28</w:t>
            </w:r>
          </w:p>
        </w:tc>
        <w:tc>
          <w:p>
            <w:pPr>
              <w:pStyle w:val="Compact"/>
              <w:jc w:val="left"/>
            </w:pPr>
            <w:r>
              <w:t xml:space="preserve">−2 %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85.6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87.9</w:t>
            </w:r>
          </w:p>
        </w:tc>
        <w:tc>
          <w:p>
            <w:pPr>
              <w:pStyle w:val="Compact"/>
              <w:jc w:val="left"/>
            </w:pPr>
            <w:r>
              <w:t xml:space="preserve">87.0</w:t>
            </w:r>
          </w:p>
        </w:tc>
        <w:tc>
          <w:p>
            <w:pPr>
              <w:pStyle w:val="Compact"/>
              <w:jc w:val="left"/>
            </w:pPr>
            <w:r>
              <w:t xml:space="preserve">+0.9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25.26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−1.4 pp</w:t>
            </w:r>
          </w:p>
        </w:tc>
      </w:tr>
    </w:tbl>
    <w:p>
      <w:pPr>
        <w:pStyle w:val="BodyText"/>
      </w:pPr>
      <w:r>
        <w:t xml:space="preserve">Table 1. Base operating-point comparison on the partner Base Model.</w:t>
      </w:r>
    </w:p>
    <w:p>
      <w:pPr>
        <w:pStyle w:val="BodyText"/>
      </w:pPr>
      <w:r>
        <w:t xml:space="preserve">The previous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shortfall decomposed into a 10–16 mV grid artifact, a</w:t>
      </w:r>
      <w:r>
        <w:t xml:space="preserve"> </w:t>
      </w:r>
      <w:r>
        <w:t xml:space="preserve">137 mV transport-discretisation omission, and compensating model differences;</w:t>
      </w:r>
      <w:r>
        <w:t xml:space="preserve"> </w:t>
      </w:r>
      <w:r>
        <w:t xml:space="preserve">with both fixes the residual is −50 mV, attributed to the interface</w:t>
      </w:r>
      <w:r>
        <w:t xml:space="preserve"> </w:t>
      </w:r>
      <w:r>
        <w:t xml:space="preserve">recombination channel (Section 5). The fill factor now matches SCAPS within a</w:t>
      </w:r>
      <w:r>
        <w:t xml:space="preserve"> </w:t>
      </w:r>
      <w:r>
        <w:t xml:space="preserve">point; the −2 % 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 is the physical front-surface reflection that</w:t>
      </w:r>
      <w:r>
        <w:t xml:space="preserve"> </w:t>
      </w:r>
      <w:r>
        <w:t xml:space="preserve">SCAPS idealises away. The remaining PCE gap is the product of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residuals.</w:t>
      </w:r>
    </w:p>
    <w:bookmarkEnd w:id="23"/>
    <w:bookmarkStart w:id="35" w:name="sweep-by-sweep-comparison"/>
    <w:p>
      <w:pPr>
        <w:pStyle w:val="Heading1"/>
      </w:pPr>
      <w:r>
        <w:t xml:space="preserve">4. Sweep-by-sweep comparison</w:t>
      </w:r>
    </w:p>
    <w:p>
      <w:pPr>
        <w:pStyle w:val="FirstParagraph"/>
      </w:pPr>
      <w:r>
        <w:t xml:space="preserve">The eleven sweeps are shown as overlays of SolarLab (solid blue) against SCAPS</w:t>
      </w:r>
      <w:r>
        <w:t xml:space="preserve"> </w:t>
      </w:r>
      <w:r>
        <w:t xml:space="preserve">(dashed red), four figures of merit per panel.</w:t>
      </w:r>
      <w:r>
        <w:t xml:space="preserve"> </w:t>
      </w:r>
      <w:r>
        <w:rPr>
          <w:bCs/>
          <w:b/>
        </w:rPr>
        <w:t xml:space="preserve">The figures and Table 2</w:t>
      </w:r>
      <w:r>
        <w:rPr>
          <w:bCs/>
          <w:b/>
        </w:rPr>
        <w:t xml:space="preserve"> </w:t>
      </w:r>
      <w:r>
        <w:rPr>
          <w:bCs/>
          <w:b/>
        </w:rPr>
        <w:t xml:space="preserve">scorecard are the faithful-default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, base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 </w:t>
      </w:r>
      <w:r>
        <w:t xml:space="preserve">1.118 V — the device-realistic value of Section 5.3); the SCAPS-emulation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het_recomb_despike</w:t>
      </w:r>
      <w:r>
        <w:t xml:space="preserve">, Section 5.3) shifts the base to SCAPS’s 1.168 V and</w:t>
      </w:r>
      <w:r>
        <w:t xml:space="preserve"> </w:t>
      </w:r>
      <w:r>
        <w:t xml:space="preserve">tightens the trend magnitudes as tabulated there (e.g. CBO 80 to 85 %, bulk</w:t>
      </w:r>
      <w:r>
        <w:t xml:space="preserve"> </w:t>
      </w:r>
      <w:r>
        <w:t xml:space="preserve">N</w:t>
      </w:r>
      <w:r>
        <w:rPr>
          <w:vertAlign w:val="subscript"/>
        </w:rPr>
        <w:t xml:space="preserve">t</w:t>
      </w:r>
      <w:r>
        <w:t xml:space="preserve"> </w:t>
      </w:r>
      <w:r>
        <w:t xml:space="preserve">11 to 69 %, 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53 to 72 %) without changing any sweep</w:t>
      </w:r>
      <w:r>
        <w:t xml:space="preserve"> </w:t>
      </w:r>
      <w:r>
        <w:t xml:space="preserve">direction. (The two interface-doping figures — ETL donor doping and HTL/PVK</w:t>
      </w:r>
      <w:r>
        <w:t xml:space="preserve"> </w:t>
      </w:r>
      <w:r>
        <w:t xml:space="preserve">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— are shown in the interface-plane-states mode, where their</w:t>
      </w:r>
      <w:r>
        <w:t xml:space="preserve"> </w:t>
      </w:r>
      <w:r>
        <w:t xml:space="preserve">direction reverses to match SCAPS as explained in Section 5.3; on the faithful</w:t>
      </w:r>
      <w:r>
        <w:t xml:space="preserve"> </w:t>
      </w:r>
      <w:r>
        <w:t xml:space="preserve">transient path those two flatten/reverse.) Grouped by outcome (faithful default):</w:t>
      </w:r>
    </w:p>
    <w:p>
      <w:pPr>
        <w:pStyle w:val="BodyText"/>
      </w:pPr>
      <w:r>
        <w:rPr>
          <w:bCs/>
          <w:b/>
        </w:rPr>
        <w:t xml:space="preserve">Matched (six).</w:t>
      </w:r>
      <w:r>
        <w:t xml:space="preserve"> </w:t>
      </w:r>
      <w:r>
        <w:t xml:space="preserve">The ETL/PVK conduction-band-offset sweep (Figure 1)</w:t>
      </w:r>
      <w:r>
        <w:t xml:space="preserve"> </w:t>
      </w:r>
      <w:r>
        <w:t xml:space="preserve">reproduces the SCAPS recombination cliff and recovery with 80 % of the SCAPS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(734 of 918 mV). The PVK donor-doping sweep (Figure 11) — a</w:t>
      </w:r>
      <w:r>
        <w:t xml:space="preserve"> </w:t>
      </w:r>
      <w:r>
        <w:t xml:space="preserve">direction mismatch in the previous revision — now matches SCAPS in both</w:t>
      </w:r>
      <w:r>
        <w:t xml:space="preserve"> </w:t>
      </w:r>
      <w:r>
        <w:t xml:space="preserve">direction and magnitude (39 vs 34 mV, including the fill-factor and efficiency</w:t>
      </w:r>
      <w:r>
        <w:t xml:space="preserve"> </w:t>
      </w:r>
      <w:r>
        <w:t xml:space="preserve">collapse at the degenerate 10</w:t>
      </w:r>
      <w:r>
        <w:rPr>
          <w:vertAlign w:val="superscript"/>
        </w:rPr>
        <w:t xml:space="preserve">18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point). The HTL/PVK interface</w:t>
      </w:r>
      <w:r>
        <w:t xml:space="preserve"> </w:t>
      </w:r>
      <w:r>
        <w:t xml:space="preserve">defect-density sweep (Figure 4) is near-flat in both solvers (0 vs 5 mV), and</w:t>
      </w:r>
      <w:r>
        <w:t xml:space="preserve"> </w:t>
      </w:r>
      <w:r>
        <w:t xml:space="preserve">the three defect-level sweeps that SCAPS holds flat — perovskite CB, perovskite</w:t>
      </w:r>
      <w:r>
        <w:t xml:space="preserve"> </w:t>
      </w:r>
      <w:r>
        <w:t xml:space="preserve">VB, and HTL/PVK (Figures 8–10) — are flat in SolarLab as well (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0.3 mV both).</w:t>
      </w:r>
    </w:p>
    <w:p>
      <w:pPr>
        <w:pStyle w:val="BodyText"/>
      </w:pPr>
      <w:r>
        <w:rPr>
          <w:bCs/>
          <w:b/>
        </w:rPr>
        <w:t xml:space="preserve">Partial (two).</w:t>
      </w:r>
      <w:r>
        <w:t xml:space="preserve"> </w:t>
      </w:r>
      <w:r>
        <w:t xml:space="preserve">The PVK/ETL interface defect-density sweep (Figure 2) matches</w:t>
      </w:r>
      <w:r>
        <w:t xml:space="preserve"> </w:t>
      </w:r>
      <w:r>
        <w:t xml:space="preserve">in direction and saturating shape with 53 % of the SCAPS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(149 of</w:t>
      </w:r>
      <w:r>
        <w:t xml:space="preserve"> </w:t>
      </w:r>
      <w:r>
        <w:t xml:space="preserve">282 mV; 72 % with the transport correction off — see Section 5 for why the</w:t>
      </w:r>
      <w:r>
        <w:t xml:space="preserve"> </w:t>
      </w:r>
      <w:r>
        <w:t xml:space="preserve">correction trades interface-sweep closure for base-point accuracy). The</w:t>
      </w:r>
      <w:r>
        <w:t xml:space="preserve"> </w:t>
      </w:r>
      <w:r>
        <w:t xml:space="preserve">perovskite-VB bulk defect-density sweep (Figure 7) now matches SCAPS in</w:t>
      </w:r>
      <w:r>
        <w:t xml:space="preserve"> </w:t>
      </w:r>
      <w:r>
        <w:t xml:space="preserve">direction with 41 % of its range (4.4 of 10.8 mV) after the sweep-wiring fix</w:t>
      </w:r>
      <w:r>
        <w:t xml:space="preserve"> </w:t>
      </w:r>
      <w:r>
        <w:t xml:space="preserve">of Section 5.</w:t>
      </w:r>
    </w:p>
    <w:p>
      <w:pPr>
        <w:pStyle w:val="BodyText"/>
      </w:pPr>
      <w:r>
        <w:rPr>
          <w:bCs/>
          <w:b/>
        </w:rPr>
        <w:t xml:space="preserve">Open (three).</w:t>
      </w:r>
      <w:r>
        <w:t xml:space="preserve"> </w:t>
      </w:r>
      <w:r>
        <w:t xml:space="preserve">The ETL donor-doping sweep (Figure 5): the two degenerate</w:t>
      </w:r>
      <w:r>
        <w:t xml:space="preserve"> </w:t>
      </w:r>
      <w:r>
        <w:t xml:space="preserve">low-doping points are excluded by the validity guard, and on the well-posed arm</w:t>
      </w:r>
      <w:r>
        <w:t xml:space="preserve"> </w:t>
      </w:r>
      <w:r>
        <w:t xml:space="preserve">(10</w:t>
      </w:r>
      <w:r>
        <w:rPr>
          <w:vertAlign w:val="superscript"/>
        </w:rPr>
        <w:t xml:space="preserve">14</w:t>
      </w:r>
      <w:r>
        <w:t xml:space="preserve">–10</w:t>
      </w:r>
      <w:r>
        <w:rPr>
          <w:vertAlign w:val="superscript"/>
        </w:rPr>
        <w:t xml:space="preserve">20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) SolarLab is essentially flat (11 mV) where SCAPS rises by</w:t>
      </w:r>
      <w:r>
        <w:t xml:space="preserve"> </w:t>
      </w:r>
      <w:r>
        <w:t xml:space="preserve">100 mV — the direction is within noise of flat, so the trend is counted open</w:t>
      </w:r>
      <w:r>
        <w:t xml:space="preserve"> </w:t>
      </w:r>
      <w:r>
        <w:t xml:space="preserve">rather than matched. The PVK/ETL interface defect-level sweep (Figure 3)</w:t>
      </w:r>
      <w:r>
        <w:t xml:space="preserve"> </w:t>
      </w:r>
      <w:r>
        <w:t xml:space="preserve">responds only weakly (2 of 35 mV). The perovskite-CB bulk defect-density sweep</w:t>
      </w:r>
      <w:r>
        <w:t xml:space="preserve"> </w:t>
      </w:r>
      <w:r>
        <w:t xml:space="preserve">(Figure 6) now responds in the correct direction but covers only 11 % of the</w:t>
      </w:r>
      <w:r>
        <w:t xml:space="preserve"> </w:t>
      </w:r>
      <w:r>
        <w:t xml:space="preserve">SCAPS range (4.3 of 38.6 mV). All three open items share one mechanism</w:t>
      </w:r>
      <w:r>
        <w:t xml:space="preserve"> </w:t>
      </w:r>
      <w:r>
        <w:t xml:space="preserve">(Section 5).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TL/PVK conduction-band offset (ΔEC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CHI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ETL/PVK conduction-band offset (ΔE</w:t>
      </w:r>
      <w:r>
        <w:rPr>
          <w:vertAlign w:val="subscript"/>
        </w:rPr>
        <w:t xml:space="preserve">C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VK/ETL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VK/ETL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HTL/PVK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TL donor doping (ND). Grey open markers: degenerate points excluded by the detailed-balance-ceiling guard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d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 (N</w:t>
      </w:r>
      <w:r>
        <w:rPr>
          <w:vertAlign w:val="subscript"/>
        </w:rPr>
        <w:t xml:space="preserve">D</w:t>
      </w:r>
      <w:r>
        <w:t xml:space="preserve">). Grey open markers: degenerate points excluded by the</w:t>
      </w:r>
      <w:r>
        <w:t xml:space="preserve"> </w:t>
      </w:r>
      <w:r>
        <w:t xml:space="preserve">detailed-balance-ceiling guard.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conduction-band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conduction-band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valence-band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valence-band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conduction-band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conduction-band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valence-band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valence-band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HTL/PVK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VK donor doping (ND,PVK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d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 donor doping (N</w:t>
      </w:r>
      <w:r>
        <w:rPr>
          <w:vertAlign w:val="subscript"/>
        </w:rPr>
        <w:t xml:space="preserve">D,PVK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SolarLab range</w:t>
            </w:r>
          </w:p>
        </w:tc>
        <w:tc>
          <w:p>
            <w:pPr>
              <w:pStyle w:val="Compact"/>
              <w:jc w:val="left"/>
            </w:pPr>
            <w:r>
              <w:t xml:space="preserve">SCAPS range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734 mV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  <w:tc>
          <w:p>
            <w:pPr>
              <w:pStyle w:val="Compact"/>
              <w:jc w:val="left"/>
            </w:pPr>
            <w:r>
              <w:t xml:space="preserve">match (80 %)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39 mV</w:t>
            </w:r>
          </w:p>
        </w:tc>
        <w:tc>
          <w:p>
            <w:pPr>
              <w:pStyle w:val="Compact"/>
              <w:jc w:val="left"/>
            </w:pPr>
            <w:r>
              <w:t xml:space="preserve">34 mV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5 mV</w:t>
            </w:r>
          </w:p>
        </w:tc>
        <w:tc>
          <w:p>
            <w:pPr>
              <w:pStyle w:val="Compact"/>
              <w:jc w:val="left"/>
            </w:pPr>
            <w:r>
              <w:t xml:space="preserve">match (near-flat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PVK-CB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0.3 mV</w:t>
            </w:r>
          </w:p>
        </w:tc>
        <w:tc>
          <w:p>
            <w:pPr>
              <w:pStyle w:val="Compact"/>
              <w:jc w:val="left"/>
            </w:pP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match (flat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PVK-VB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0.3 mV</w:t>
            </w:r>
          </w:p>
        </w:tc>
        <w:tc>
          <w:p>
            <w:pPr>
              <w:pStyle w:val="Compact"/>
              <w:jc w:val="left"/>
            </w:pP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match (flat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match (flat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149 mV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  <w:tc>
          <w:p>
            <w:pPr>
              <w:pStyle w:val="Compact"/>
              <w:jc w:val="left"/>
            </w:pPr>
            <w:r>
              <w:t xml:space="preserve">partial (53 %)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11 mV</w:t>
            </w:r>
          </w:p>
        </w:tc>
        <w:tc>
          <w:p>
            <w:pPr>
              <w:pStyle w:val="Compact"/>
              <w:jc w:val="left"/>
            </w:pPr>
            <w:r>
              <w:t xml:space="preserve">100 mV</w:t>
            </w:r>
          </w:p>
        </w:tc>
        <w:tc>
          <w:p>
            <w:pPr>
              <w:pStyle w:val="Compact"/>
              <w:jc w:val="left"/>
            </w:pPr>
            <w:r>
              <w:t xml:space="preserve">open (flat vs rising)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 mV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PVK-VB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4.4 mV</w:t>
            </w:r>
          </w:p>
        </w:tc>
        <w:tc>
          <w:p>
            <w:pPr>
              <w:pStyle w:val="Compact"/>
              <w:jc w:val="left"/>
            </w:pPr>
            <w:r>
              <w:t xml:space="preserve">11 mV</w:t>
            </w:r>
          </w:p>
        </w:tc>
        <w:tc>
          <w:p>
            <w:pPr>
              <w:pStyle w:val="Compact"/>
              <w:jc w:val="left"/>
            </w:pPr>
            <w:r>
              <w:t xml:space="preserve">partial (41 %)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PVK-CB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4.3 mV</w:t>
            </w:r>
          </w:p>
        </w:tc>
        <w:tc>
          <w:p>
            <w:pPr>
              <w:pStyle w:val="Compact"/>
              <w:jc w:val="left"/>
            </w:pPr>
            <w:r>
              <w:t xml:space="preserve">39 mV</w:t>
            </w:r>
          </w:p>
        </w:tc>
        <w:tc>
          <w:p>
            <w:pPr>
              <w:pStyle w:val="Compact"/>
              <w:jc w:val="left"/>
            </w:pPr>
            <w:r>
              <w:t xml:space="preserve">open (direction match, 11 %)</w:t>
            </w:r>
          </w:p>
        </w:tc>
      </w:tr>
    </w:tbl>
    <w:p>
      <w:pPr>
        <w:pStyle w:val="BodyText"/>
      </w:pPr>
      <w:r>
        <w:t xml:space="preserve">Table 2. Per-sweep scorecard,</w:t>
      </w:r>
      <w:r>
        <w:t xml:space="preserve"> </w:t>
      </w:r>
      <w:r>
        <w:rPr>
          <w:bCs/>
          <w:b/>
        </w:rPr>
        <w:t xml:space="preserve">faithful-default mode</w:t>
      </w:r>
      <w:r>
        <w:t xml:space="preserve"> </w:t>
      </w:r>
      <w:r>
        <w:t xml:space="preserve">(V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ranges over the</w:t>
      </w:r>
      <w:r>
        <w:t xml:space="preserve"> </w:t>
      </w:r>
      <w:r>
        <w:t xml:space="preserve">physically well-posed points). The SCAPS-emulation mode of Section 5.3 tightens</w:t>
      </w:r>
      <w:r>
        <w:t xml:space="preserve"> </w:t>
      </w:r>
      <w:r>
        <w:t xml:space="preserve">these magnitudes (CBO 85 %, bulk N</w:t>
      </w:r>
      <w:r>
        <w:rPr>
          <w:vertAlign w:val="subscript"/>
        </w:rPr>
        <w:t xml:space="preserve">t</w:t>
      </w:r>
      <w:r>
        <w:t xml:space="preserve"> </w:t>
      </w:r>
      <w:r>
        <w:t xml:space="preserve">69 %, 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72 %) and matches the</w:t>
      </w:r>
      <w:r>
        <w:t xml:space="preserve"> </w:t>
      </w:r>
      <w:r>
        <w:t xml:space="preserve">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to within 1 mV; all sweep directions are identical in both modes.</w:t>
      </w:r>
    </w:p>
    <w:bookmarkEnd w:id="35"/>
    <w:bookmarkStart w:id="39" w:name="analysis"/>
    <w:p>
      <w:pPr>
        <w:pStyle w:val="Heading1"/>
      </w:pPr>
      <w:r>
        <w:t xml:space="preserve">5. Analysis</w:t>
      </w:r>
    </w:p>
    <w:p>
      <w:pPr>
        <w:pStyle w:val="FirstParagraph"/>
      </w:pPr>
      <w:r>
        <w:rPr>
          <w:bCs/>
          <w:b/>
        </w:rPr>
        <w:t xml:space="preserve">The resolved item: the base V</w:t>
      </w:r>
      <w:r>
        <w:rPr>
          <w:vertAlign w:val="subscript"/>
          <w:bCs/>
          <w:b/>
        </w:rPr>
        <w:t xml:space="preserve">oc</w:t>
      </w:r>
      <w:r>
        <w:rPr>
          <w:bCs/>
          <w:b/>
        </w:rPr>
        <w:t xml:space="preserve"> </w:t>
      </w:r>
      <w:r>
        <w:rPr>
          <w:bCs/>
          <w:b/>
        </w:rPr>
        <w:t xml:space="preserve">root cause.</w:t>
      </w:r>
      <w:r>
        <w:t xml:space="preserve"> </w:t>
      </w:r>
      <w:r>
        <w:t xml:space="preserve">The 2026-05-29 report carried</w:t>
      </w:r>
      <w:r>
        <w:t xml:space="preserve"> </w:t>
      </w:r>
      <w:r>
        <w:t xml:space="preserve">a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deficit of then-unknown mechanism. It has since been traced to</w:t>
      </w:r>
      <w:r>
        <w:t xml:space="preserve"> </w:t>
      </w:r>
      <w:r>
        <w:t xml:space="preserve">the transport discretisation: the Scharfetter–Gummel flux carried the band-edge</w:t>
      </w:r>
      <w:r>
        <w:t xml:space="preserve"> </w:t>
      </w:r>
      <w:r>
        <w:t xml:space="preserve">potentials but not the effective-density-of-states terms, imposing spurious</w:t>
      </w:r>
      <w:r>
        <w:t xml:space="preserve"> </w:t>
      </w:r>
      <w:r>
        <w:t xml:space="preserve">quasi-Fermi-level steps of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25</m:t>
        </m:r>
        <m:r>
          <m:rPr>
            <m:sty m:val="p"/>
          </m:rPr>
          <m:t>=</m:t>
        </m:r>
        <m:r>
          <m:t>83</m:t>
        </m:r>
      </m:oMath>
      <w:r>
        <w:t xml:space="preserve"> </w:t>
      </w:r>
      <w:r>
        <w:t xml:space="preserve">meV (HTL/PVK) and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meV</w:t>
      </w:r>
      <w:r>
        <w:t xml:space="preserve"> </w:t>
      </w:r>
      <w:r>
        <w:t xml:space="preserve">(PVK/ETL) — 137 mV total, matching the solver’s measured quasi-Fermi-level</w:t>
      </w:r>
      <w:r>
        <w:t xml:space="preserve"> </w:t>
      </w:r>
      <w:r>
        <w:t xml:space="preserve">profile exactly and verified constructively (with the correction the</w:t>
      </w:r>
      <w:r>
        <w:t xml:space="preserve"> </w:t>
      </w:r>
      <w:r>
        <w:t xml:space="preserve">radiative-only configuration reaches its analytic detailed-balance ceiling,</w:t>
      </w:r>
      <w:r>
        <w:t xml:space="preserve"> </w:t>
      </w:r>
      <w:r>
        <w:t xml:space="preserve">1.2535 V). Two prior hypotheses — quasi-Fermi-level dissipation across the band</w:t>
      </w:r>
      <w:r>
        <w:t xml:space="preserve"> </w:t>
      </w:r>
      <w:r>
        <w:t xml:space="preserve">offsets and the contact boundary condition — were tested and refuted in the</w:t>
      </w:r>
      <w:r>
        <w:t xml:space="preserve"> </w:t>
      </w:r>
      <w:r>
        <w:t xml:space="preserve">process. The full account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bulk-defect sweeps: a sweep-wiring defect, found and fixed.</w:t>
      </w:r>
      <w:r>
        <w:t xml:space="preserve"> </w:t>
      </w:r>
      <w:r>
        <w:t xml:space="preserve">The</w:t>
      </w:r>
      <w:r>
        <w:t xml:space="preserve"> </w:t>
      </w:r>
      <w:r>
        <w:t xml:space="preserve">previous revision reported the perovskite CB/VB bulk defect-density sweeps as</w:t>
      </w:r>
      <w:r>
        <w:t xml:space="preserve"> </w:t>
      </w:r>
      <w:r>
        <w:t xml:space="preserve">fully masked (0 mV). Most of that flatness was an artifact: the sweep machinery</w:t>
      </w:r>
      <w:r>
        <w:t xml:space="preserve"> </w:t>
      </w:r>
      <w:r>
        <w:t xml:space="preserve">ratio-scaled the bulk SRH lifetime against a hardcoded absolute reference of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, while the configuration’s base lifetime corresponds to its</w:t>
      </w:r>
      <w:r>
        <w:t xml:space="preserve"> </w:t>
      </w:r>
      <w:r>
        <w:t xml:space="preserve">declared 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defects — so every swept point in the partner range ran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longer</w:t>
      </w:r>
      <w:r>
        <w:t xml:space="preserve"> </w:t>
      </w:r>
      <w:r>
        <w:t xml:space="preserve">lifetime than the baseline and the recombination knob was never</w:t>
      </w:r>
      <w:r>
        <w:t xml:space="preserve"> </w:t>
      </w:r>
      <w:r>
        <w:t xml:space="preserve">actually turned. With the lifetime now ratio-scaled off the configuration’s own</w:t>
      </w:r>
      <w:r>
        <w:t xml:space="preserve"> </w:t>
      </w:r>
      <w:r>
        <w:t xml:space="preserve">declared density, both sweeps reproduce the SCAPS V</w:t>
      </w:r>
      <w:r>
        <w:rPr>
          <w:vertAlign w:val="subscript"/>
        </w:rPr>
        <w:t xml:space="preserve">oc</w:t>
      </w:r>
      <w:r>
        <w:t xml:space="preserve">/PCE descent in</w:t>
      </w:r>
      <w:r>
        <w:t xml:space="preserve"> </w:t>
      </w:r>
      <w:r>
        <w:t xml:space="preserve">direction (VB: 41 % of the SCAPS range; CB: 11 %). The residual magnitude gap</w:t>
      </w:r>
      <w:r>
        <w:t xml:space="preserve"> </w:t>
      </w:r>
      <w:r>
        <w:t xml:space="preserve">is the genuine physics remainder: the swept trap is shallow (0.1 eV below the</w:t>
      </w:r>
      <w:r>
        <w:t xml:space="preserve"> </w:t>
      </w:r>
      <w:r>
        <w:t xml:space="preserve">conduction band, hence weakly recombining even in SCAPS), and SolarLab’s higher</w:t>
      </w:r>
      <w:r>
        <w:t xml:space="preserve"> </w:t>
      </w:r>
      <w:r>
        <w:t xml:space="preserve">interface-recombination floor partially masks the response.</w:t>
      </w:r>
    </w:p>
    <w:p>
      <w:pPr>
        <w:pStyle w:val="BodyText"/>
      </w:pPr>
      <w:r>
        <w:rPr>
          <w:bCs/>
          <w:b/>
        </w:rPr>
        <w:t xml:space="preserve">The remaining residual: one interface channel.</w:t>
      </w:r>
      <w:r>
        <w:t xml:space="preserve"> </w:t>
      </w:r>
      <w:r>
        <w:t xml:space="preserve">With the transport</w:t>
      </w:r>
      <w:r>
        <w:t xml:space="preserve"> </w:t>
      </w:r>
      <w:r>
        <w:t xml:space="preserve">corrected, the −50 mV base residual and the remaining open sweeps reduce to the</w:t>
      </w:r>
      <w:r>
        <w:t xml:space="preserve"> </w:t>
      </w:r>
      <w:r>
        <w:t xml:space="preserve">interface-recombination channel. The PVK/ETL interface dominates SolarLab’s</w:t>
      </w:r>
      <w:r>
        <w:t xml:space="preserve"> </w:t>
      </w:r>
      <w:r>
        <w:t xml:space="preserve">recombination at the corrected operating point; its strength (i) sets the −50 mV</w:t>
      </w:r>
      <w:r>
        <w:t xml:space="preserve"> </w:t>
      </w:r>
      <w:r>
        <w:t xml:space="preserve">base offset, (ii) absorbs the ETL-doping response that SCAPS expresses as a</w:t>
      </w:r>
      <w:r>
        <w:t xml:space="preserve"> </w:t>
      </w:r>
      <w:r>
        <w:t xml:space="preserve">+100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rise, (iii) partially masks the bulk-defect responses discussed</w:t>
      </w:r>
      <w:r>
        <w:t xml:space="preserve"> </w:t>
      </w:r>
      <w:r>
        <w:t xml:space="preserve">above, and (iv) damps the interface-E</w:t>
      </w:r>
      <w:r>
        <w:rPr>
          <w:vertAlign w:val="subscript"/>
        </w:rPr>
        <w:t xml:space="preserve">t</w:t>
      </w:r>
      <w:r>
        <w:t xml:space="preserve"> </w:t>
      </w:r>
      <w:r>
        <w:t xml:space="preserve">response. The interface-sweep closure also explains the one</w:t>
      </w:r>
      <w:r>
        <w:t xml:space="preserve"> </w:t>
      </w:r>
      <w:r>
        <w:t xml:space="preserve">regression in Table 2: lifting the 137 mV transport floor raises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into a regime where the interface channel saturates differently, so the</w:t>
      </w:r>
      <w:r>
        <w:t xml:space="preserve"> </w:t>
      </w:r>
      <w:r>
        <w:t xml:space="preserve">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closure moves from 72 % (correction off) to 53 % (on) — the</w:t>
      </w:r>
      <w:r>
        <w:t xml:space="preserve"> </w:t>
      </w:r>
      <w:r>
        <w:t xml:space="preserve">correction trades some interface-sweep range for base-point accuracy, with the</w:t>
      </w:r>
      <w:r>
        <w:t xml:space="preserve"> </w:t>
      </w:r>
      <w:r>
        <w:t xml:space="preserve">direction preserved. Matching SCAPS’s interface behaviour exactly would require</w:t>
      </w:r>
      <w:r>
        <w:t xml:space="preserve"> </w:t>
      </w:r>
      <w:r>
        <w:t xml:space="preserve">adopting its interface-recombination formulation (two-sided carrier capture with</w:t>
      </w:r>
      <w:r>
        <w:t xml:space="preserve"> </w:t>
      </w:r>
      <w:r>
        <w:t xml:space="preserve">SCAPS’s reference-density conventions), which is documented as future work, not</w:t>
      </w:r>
      <w:r>
        <w:t xml:space="preserve"> </w:t>
      </w:r>
      <w:r>
        <w:t xml:space="preserve">approximated by tuning.</w:t>
      </w:r>
    </w:p>
    <w:p>
      <w:pPr>
        <w:pStyle w:val="BodyText"/>
      </w:pPr>
      <w:r>
        <w:rPr>
          <w:bCs/>
          <w:b/>
        </w:rPr>
        <w:t xml:space="preserve">ETL low-doping regime.</w:t>
      </w:r>
      <w:r>
        <w:t xml:space="preserve"> </w:t>
      </w:r>
      <w:r>
        <w:t xml:space="preserve">At N</w:t>
      </w:r>
      <w:r>
        <w:rPr>
          <w:vertAlign w:val="subscript"/>
        </w:rPr>
        <w:t xml:space="preserve">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the ETL is effectively an</w:t>
      </w:r>
      <w:r>
        <w:t xml:space="preserve"> </w:t>
      </w:r>
      <w:r>
        <w:t xml:space="preserve">insulator; SolarLab’s transient solver cannot establish the steady state there</w:t>
      </w:r>
      <w:r>
        <w:t xml:space="preserve"> </w:t>
      </w:r>
      <w:r>
        <w:t xml:space="preserve">and its ideal-ohmic contact pins degenerate (the excluded grey points). A</w:t>
      </w:r>
      <w:r>
        <w:t xml:space="preserve"> </w:t>
      </w:r>
      <w:r>
        <w:t xml:space="preserve">SCAPS-style flat-band contact mode (</w:t>
      </w:r>
      <w:r>
        <w:rPr>
          <w:rStyle w:val="VerbatimChar"/>
        </w:rPr>
        <w:t xml:space="preserve">flat_band_contacts</w:t>
      </w:r>
      <w:r>
        <w:t xml:space="preserve">) was implemented and</w:t>
      </w:r>
      <w:r>
        <w:t xml:space="preserve"> </w:t>
      </w:r>
      <w:r>
        <w:t xml:space="preserve">eliminates the unphysical pseudo-crossings; reproducing SCAPS’s absolute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that regime additionally requires a direct steady-state solve, which is an</w:t>
      </w:r>
      <w:r>
        <w:t xml:space="preserve"> </w:t>
      </w:r>
      <w:r>
        <w:t xml:space="preserve">engine-level difference, documented and bounded.</w:t>
      </w:r>
    </w:p>
    <w:p>
      <w:pPr>
        <w:pStyle w:val="BodyText"/>
      </w:pPr>
      <w:r>
        <w:rPr>
          <w:bCs/>
          <w:b/>
        </w:rPr>
        <w:t xml:space="preserve">Short-circuit current (−2 %).</w:t>
      </w:r>
      <w:r>
        <w:t xml:space="preserve"> </w:t>
      </w:r>
      <w:r>
        <w:t xml:space="preserve">Front-surface reflection that SolarLab’s</w:t>
      </w:r>
      <w:r>
        <w:t xml:space="preserve"> </w:t>
      </w:r>
      <w:r>
        <w:t xml:space="preserve">transfer-matrix optics retains and SCAPS idealises away; kept deliberately.</w:t>
      </w:r>
    </w:p>
    <w:bookmarkStart w:id="36" w:name="X3afa80b254ab6a5b38f419aab59c877e26c7631"/>
    <w:p>
      <w:pPr>
        <w:pStyle w:val="Heading2"/>
      </w:pPr>
      <w:r>
        <w:t xml:space="preserve">5.1 Interface-plane closure for defect-interface recombination</w:t>
      </w:r>
    </w:p>
    <w:p>
      <w:pPr>
        <w:pStyle w:val="FirstParagraph"/>
      </w:pPr>
      <w:r>
        <w:t xml:space="preserve">After this report’s main analysis was frozen, the named residual mechanism was</w:t>
      </w:r>
      <w:r>
        <w:t xml:space="preserve"> </w:t>
      </w:r>
      <w:r>
        <w:t xml:space="preserve">addressed directly: an optional</w:t>
      </w:r>
      <w:r>
        <w:t xml:space="preserve"> </w:t>
      </w:r>
      <w:r>
        <w:rPr>
          <w:iCs/>
          <w:i/>
        </w:rPr>
        <w:t xml:space="preserve">interface-plane closure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interface_plane_closure</w:t>
      </w:r>
      <w:r>
        <w:t xml:space="preserve">, default off) evaluates defect-interface</w:t>
      </w:r>
      <w:r>
        <w:t xml:space="preserve"> </w:t>
      </w:r>
      <w:r>
        <w:t xml:space="preserve">recombination on true interface-plane carrier densities, solved per evaluation</w:t>
      </w:r>
      <w:r>
        <w:t xml:space="preserve"> </w:t>
      </w:r>
      <w:r>
        <w:t xml:space="preserve">from a local implicit flux balance (supply-limited; the plane gap is the</w:t>
      </w:r>
      <w:r>
        <w:t xml:space="preserve"> </w:t>
      </w:r>
      <w:r>
        <w:t xml:space="preserve">reduced interface gap, which carries the band-offset cliff physics; the trap</w:t>
      </w:r>
      <w:r>
        <w:t xml:space="preserve"> </w:t>
      </w:r>
      <w:r>
        <w:t xml:space="preserve">level is clamped to that gap). It is the fifth interface formulation attempted</w:t>
      </w:r>
      <w:r>
        <w:t xml:space="preserve"> </w:t>
      </w:r>
      <w:r>
        <w:t xml:space="preserve">and the first with a net-positive measured outcome: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corrected config</w:t>
            </w:r>
          </w:p>
        </w:tc>
        <w:tc>
          <w:p>
            <w:pPr>
              <w:pStyle w:val="Compact"/>
              <w:jc w:val="left"/>
            </w:pPr>
            <w:r>
              <w:t xml:space="preserve">+ plane closure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 (flat)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 mV (70 %)</w:t>
            </w:r>
          </w:p>
        </w:tc>
        <w:tc>
          <w:p>
            <w:pPr>
              <w:pStyle w:val="Compact"/>
              <w:jc w:val="left"/>
            </w:pPr>
            <w:r>
              <w:t xml:space="preserve">5.2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band offset</w:t>
            </w:r>
          </w:p>
        </w:tc>
        <w:tc>
          <w:p>
            <w:pPr>
              <w:pStyle w:val="Compact"/>
              <w:jc w:val="left"/>
            </w:pPr>
            <w:r>
              <w:t xml:space="preserve">734 mV (80 %)</w:t>
            </w:r>
          </w:p>
        </w:tc>
        <w:tc>
          <w:p>
            <w:pPr>
              <w:pStyle w:val="Compact"/>
              <w:jc w:val="left"/>
            </w:pPr>
            <w:r>
              <w:t xml:space="preserve">707 mV (77 %)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149 mV (53 %)</w:t>
            </w:r>
          </w:p>
        </w:tc>
        <w:tc>
          <w:p>
            <w:pPr>
              <w:pStyle w:val="Compact"/>
              <w:jc w:val="left"/>
            </w:pPr>
            <w:r>
              <w:t xml:space="preserve">127 mV (45 %)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/ other sweeps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HTL/PVK interface — flat in SolarLab under every previous formulation</w:t>
      </w:r>
      <w:r>
        <w:t xml:space="preserve"> </w:t>
      </w:r>
      <w:r>
        <w:t xml:space="preserve">across six decades of surface-recombination velocity — now reproduces 70 % of</w:t>
      </w:r>
      <w:r>
        <w:t xml:space="preserve"> </w:t>
      </w:r>
      <w:r>
        <w:t xml:space="preserve">SCAPS’s response, at a small cost in the two large interface sweeps and no</w:t>
      </w:r>
      <w:r>
        <w:t xml:space="preserve"> </w:t>
      </w:r>
      <w:r>
        <w:t xml:space="preserve">change elsewhere. A combined probe (closure + flat-band contacts)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recover the ETL-doping rising arm, confirming that sweep, the PVK/ETL trap</w:t>
      </w:r>
      <w:r>
        <w:t xml:space="preserve"> </w:t>
      </w:r>
      <w:r>
        <w:t xml:space="preserve">energy, and the residual base offset as the remaining open items.</w:t>
      </w:r>
    </w:p>
    <w:bookmarkEnd w:id="36"/>
    <w:bookmarkStart w:id="37" w:name="X5d9d5d7ad7493fe412d9fbe61f0c2e13f43e0f6"/>
    <w:p>
      <w:pPr>
        <w:pStyle w:val="Heading2"/>
      </w:pPr>
      <w:r>
        <w:t xml:space="preserve">5.2 A direct steady-state solver and two-method cross-validation</w:t>
      </w:r>
    </w:p>
    <w:p>
      <w:pPr>
        <w:pStyle w:val="FirstParagraph"/>
      </w:pPr>
      <w:r>
        <w:t xml:space="preserve">The direct steady-state solve named above has since been built and</w:t>
      </w:r>
      <w:r>
        <w:t xml:space="preserve"> </w:t>
      </w:r>
      <w:r>
        <w:t xml:space="preserve">validated: the new driver solves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discretised physics the</w:t>
      </w:r>
      <w:r>
        <w:t xml:space="preserve"> </w:t>
      </w:r>
      <w:r>
        <w:t xml:space="preserve">transient integrates (one implementation, two solution methods), with a</w:t>
      </w:r>
      <w:r>
        <w:t xml:space="preserve"> </w:t>
      </w:r>
      <w:r>
        <w:t xml:space="preserve">damped Newton iteration, a smoothed thermionic-emission cap, and a</w:t>
      </w:r>
      <w:r>
        <w:t xml:space="preserve"> </w:t>
      </w:r>
      <w:r>
        <w:t xml:space="preserve">certified transient fallback at the few biases where the interface-switch</w:t>
      </w:r>
      <w:r>
        <w:t xml:space="preserve"> </w:t>
      </w:r>
      <w:r>
        <w:t xml:space="preserve">non-smoothness defeats a derivative-based method. Cross-validation of the</w:t>
      </w:r>
      <w:r>
        <w:t xml:space="preserve"> </w:t>
      </w:r>
      <w:r>
        <w:t xml:space="preserve">two methods on the mirror device (frozen ions in both): the steady-state</w:t>
      </w:r>
      <w:r>
        <w:t xml:space="preserve"> </w:t>
      </w:r>
      <w:r>
        <w:t xml:space="preserve">J–V matches the slow-scan transient within 5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 1 %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end-to-end, and a direct bisection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solve agrees with the</w:t>
      </w:r>
      <w:r>
        <w:t xml:space="preserve"> </w:t>
      </w:r>
      <w:r>
        <w:t xml:space="preserve">sweep interpolation within 2 mV — eliminating the voltage-grid</w:t>
      </w:r>
      <w:r>
        <w:t xml:space="preserve"> </w:t>
      </w:r>
      <w:r>
        <w:t xml:space="preserve">interpolation artefact identified in Section 2.</w:t>
      </w:r>
    </w:p>
    <w:p>
      <w:pPr>
        <w:pStyle w:val="BodyText"/>
      </w:pPr>
      <w:r>
        <w:t xml:space="preserve">The driver also settles the low-doping question definitively, in an</w:t>
      </w:r>
      <w:r>
        <w:t xml:space="preserve"> </w:t>
      </w:r>
      <w:r>
        <w:t xml:space="preserve">unexpected direction. With the solver no longer the limit, the</w:t>
      </w:r>
      <w:r>
        <w:t xml:space="preserve"> </w:t>
      </w:r>
      <w:r>
        <w:t xml:space="preserve">ETL-doping walk at N</w:t>
      </w:r>
      <w:r>
        <w:rPr>
          <w:vertAlign w:val="subscript"/>
        </w:rPr>
        <w:t xml:space="preserve">D</w:t>
      </w:r>
      <w:r>
        <w:t xml:space="preserve"> </w:t>
      </w:r>
      <w:r>
        <w:t xml:space="preserve">= 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cm</w:t>
      </w:r>
      <w:r>
        <w:rPr>
          <w:vertAlign w:val="superscript"/>
        </w:rPr>
        <w:t xml:space="preserve">-3</w:t>
      </w:r>
      <w:r>
        <w:t xml:space="preserve"> </w:t>
      </w:r>
      <w:r>
        <w:t xml:space="preserve">completes — and the current</w:t>
      </w:r>
      <w:r>
        <w:t xml:space="preserve"> </w:t>
      </w:r>
      <w:r>
        <w:t xml:space="preserve">genuinely finds</w:t>
      </w:r>
      <w:r>
        <w:t xml:space="preserve"> </w:t>
      </w:r>
      <w:r>
        <w:rPr>
          <w:bCs/>
          <w:b/>
        </w:rPr>
        <w:t xml:space="preserve">no zero crossing below 1.6 V</w:t>
      </w:r>
      <w:r>
        <w:t xml:space="preserve">, in agreement with the</w:t>
      </w:r>
      <w:r>
        <w:t xml:space="preserve"> </w:t>
      </w:r>
      <w:r>
        <w:t xml:space="preserve">transient flat-band result (the model’s crossing sits near 1.29 V, above</w:t>
      </w:r>
      <w:r>
        <w:t xml:space="preserve"> </w:t>
      </w:r>
      <w:r>
        <w:t xml:space="preserve">the detailed-balance ceiling, i.e. in the degenerate regime the validity</w:t>
      </w:r>
      <w:r>
        <w:t xml:space="preserve"> </w:t>
      </w:r>
      <w:r>
        <w:t xml:space="preserve">guard excludes). Two independent solution methods agreeing on one</w:t>
      </w:r>
      <w:r>
        <w:t xml:space="preserve"> </w:t>
      </w:r>
      <w:r>
        <w:t xml:space="preserve">physics implementation means the remaining low-doping difference to</w:t>
      </w:r>
      <w:r>
        <w:t xml:space="preserve"> </w:t>
      </w:r>
      <w:r>
        <w:t xml:space="preserve">SCAPS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= 1.10 V there) is a</w:t>
      </w:r>
      <w:r>
        <w:t xml:space="preserve"> </w:t>
      </w:r>
      <w:r>
        <w:rPr>
          <w:iCs/>
          <w:i/>
        </w:rPr>
        <w:t xml:space="preserve">model-convention</w:t>
      </w:r>
      <w:r>
        <w:t xml:space="preserve"> </w:t>
      </w:r>
      <w:r>
        <w:t xml:space="preserve">difference in the</w:t>
      </w:r>
      <w:r>
        <w:t xml:space="preserve"> </w:t>
      </w:r>
      <w:r>
        <w:t xml:space="preserve">treatment of near-insulating contact layers, not a solver limitation:</w:t>
      </w:r>
      <w:r>
        <w:t xml:space="preserve"> </w:t>
      </w:r>
      <w:r>
        <w:t xml:space="preserve">the premise that a direct steady-state solve would recover SCAPS’s</w:t>
      </w:r>
      <w:r>
        <w:t xml:space="preserve"> </w:t>
      </w:r>
      <w:r>
        <w:t xml:space="preserve">low-doping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falsified by having built exactly that. The same</w:t>
      </w:r>
      <w:r>
        <w:t xml:space="preserve"> </w:t>
      </w:r>
      <w:r>
        <w:t xml:space="preserve">conclusion extends to the other open items: all remaining differences</w:t>
      </w:r>
      <w:r>
        <w:t xml:space="preserve"> </w:t>
      </w:r>
      <w:r>
        <w:t xml:space="preserve">trace to SCAPS-specific model conventions (its interface-plane carrier</w:t>
      </w:r>
      <w:r>
        <w:t xml:space="preserve"> </w:t>
      </w:r>
      <w:r>
        <w:t xml:space="preserve">states and contact treatment), which would require reproducing those</w:t>
      </w:r>
      <w:r>
        <w:t xml:space="preserve"> </w:t>
      </w:r>
      <w:r>
        <w:t xml:space="preserve">conventions explicitly rather than further numerical work.</w:t>
      </w:r>
    </w:p>
    <w:bookmarkEnd w:id="37"/>
    <w:bookmarkStart w:id="38" w:name="X472cfb840034e92593d71fb29eba13ebd6d68e8"/>
    <w:p>
      <w:pPr>
        <w:pStyle w:val="Heading2"/>
      </w:pPr>
      <w:r>
        <w:t xml:space="preserve">5.3 The base-V</w:t>
      </w:r>
      <w:r>
        <w:rPr>
          <w:vertAlign w:val="subscript"/>
        </w:rPr>
        <w:t xml:space="preserve">oc</w:t>
      </w:r>
      <w:r>
        <w:t xml:space="preserve"> </w:t>
      </w:r>
      <w:r>
        <w:t xml:space="preserve">offset: Auger origin and the faithful-versus-emulation modes</w:t>
      </w:r>
    </w:p>
    <w:p>
      <w:pPr>
        <w:pStyle w:val="FirstParagraph"/>
      </w:pPr>
      <w:r>
        <w:t xml:space="preserve">The residual base-V</w:t>
      </w:r>
      <w:r>
        <w:rPr>
          <w:vertAlign w:val="subscript"/>
        </w:rPr>
        <w:t xml:space="preserve">oc</w:t>
      </w:r>
      <w:r>
        <w:t xml:space="preserve"> </w:t>
      </w:r>
      <w:r>
        <w:t xml:space="preserve">offset (SolarLab below SCAPS) was attributed throughout</w:t>
      </w:r>
      <w:r>
        <w:t xml:space="preserve"> </w:t>
      </w:r>
      <w:r>
        <w:t xml:space="preserve">this work to</w:t>
      </w:r>
      <w:r>
        <w:t xml:space="preserve"> </w:t>
      </w:r>
      <w:r>
        <w:rPr>
          <w:iCs/>
          <w:i/>
        </w:rPr>
        <w:t xml:space="preserve">interface recombination</w:t>
      </w:r>
      <w:r>
        <w:t xml:space="preserve">. A direct decomposition of the</w:t>
      </w:r>
      <w:r>
        <w:t xml:space="preserve"> </w:t>
      </w:r>
      <w:r>
        <w:t xml:space="preserve">recombination current at the operating point overturns that attribution: the</w:t>
      </w:r>
      <w:r>
        <w:t xml:space="preserve"> </w:t>
      </w:r>
      <w:r>
        <w:t xml:space="preserve">dominant loss is</w:t>
      </w:r>
      <w:r>
        <w:t xml:space="preserve"> </w:t>
      </w:r>
      <w:r>
        <w:rPr>
          <w:bCs/>
          <w:b/>
        </w:rPr>
        <w:t xml:space="preserve">Auger recombination</w:t>
      </w:r>
      <w:r>
        <w:t xml:space="preserve"> </w:t>
      </w:r>
      <w:r>
        <w:t xml:space="preserve">(about 105 A/m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recombination</w:t>
      </w:r>
      <w:r>
        <w:t xml:space="preserve"> </w:t>
      </w:r>
      <w:r>
        <w:t xml:space="preserve">current, versus about 26 A/m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interface channel and a negligible bulk SRH</w:t>
      </w:r>
      <w:r>
        <w:t xml:space="preserve"> </w:t>
      </w:r>
      <w:r>
        <w:t xml:space="preserve">contribution). The base offset is therefore an</w:t>
      </w:r>
      <w:r>
        <w:t xml:space="preserve"> </w:t>
      </w:r>
      <w:r>
        <w:rPr>
          <w:iCs/>
          <w:i/>
        </w:rPr>
        <w:t xml:space="preserve">absorber</w:t>
      </w:r>
      <w:r>
        <w:t xml:space="preserve"> </w:t>
      </w:r>
      <w:r>
        <w:t xml:space="preserve">effect, not an</w:t>
      </w:r>
      <w:r>
        <w:t xml:space="preserve"> </w:t>
      </w:r>
      <w:r>
        <w:t xml:space="preserve">interface effect.</w:t>
      </w:r>
    </w:p>
    <w:p>
      <w:pPr>
        <w:pStyle w:val="BodyText"/>
      </w:pPr>
      <w:r>
        <w:t xml:space="preserve">The Auger loss concentrates at the HTL/PVK heterojunction. The 0.18 eV</w:t>
      </w:r>
      <w:r>
        <w:t xml:space="preserve"> </w:t>
      </w:r>
      <w:r>
        <w:t xml:space="preserve">valence-band offset there produces a Boltzmann hole accumulation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exp(ΔE_v/kT)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at the junction; since the Auger rate scales as</w:t>
      </w:r>
      <w:r>
        <w:t xml:space="preserve"> </w:t>
      </w:r>
      <w:r>
        <w:rPr>
          <w:rStyle w:val="VerbatimChar"/>
        </w:rPr>
        <w:t xml:space="preserve">c_p · p² · n</w:t>
      </w:r>
      <w:r>
        <w:t xml:space="preserve">, that accumulation dominates the absorber’s Auger loss. Both</w:t>
      </w:r>
      <w:r>
        <w:t xml:space="preserve"> </w:t>
      </w:r>
      <w:r>
        <w:t xml:space="preserve">codes use the identical Auger coefficient and rate formula (audit-confirmed),</w:t>
      </w:r>
      <w:r>
        <w:t xml:space="preserve"> </w:t>
      </w:r>
      <w:r>
        <w:t xml:space="preserve">so the difference is the</w:t>
      </w:r>
      <w:r>
        <w:t xml:space="preserve"> </w:t>
      </w:r>
      <w:r>
        <w:rPr>
          <w:iCs/>
          <w:i/>
        </w:rPr>
        <w:t xml:space="preserve">carrier density</w:t>
      </w:r>
      <w:r>
        <w:t xml:space="preserve">: SolarLab’s effective-density-of-</w:t>
      </w:r>
      <w:r>
        <w:t xml:space="preserve"> </w:t>
      </w:r>
      <w:r>
        <w:t xml:space="preserve">states correction (</w:t>
      </w:r>
      <w:r>
        <w:rPr>
          <w:rStyle w:val="VerbatimChar"/>
        </w:rPr>
        <w:t xml:space="preserve">dos_band_potentials</w:t>
      </w:r>
      <w:r>
        <w:t xml:space="preserve">, the term that fixed the larger</w:t>
      </w:r>
      <w:r>
        <w:t xml:space="preserve"> </w:t>
      </w:r>
      <w:r>
        <w:t xml:space="preserve">quasi-Fermi-level discrepancy) raises the interface hole density that SCAPS,</w:t>
      </w:r>
      <w:r>
        <w:t xml:space="preserve"> </w:t>
      </w:r>
      <w:r>
        <w:t xml:space="preserve">lacking that correction, does not carry. SolarLab consequently models a larger —</w:t>
      </w:r>
      <w:r>
        <w:t xml:space="preserve"> </w:t>
      </w:r>
      <w:r>
        <w:t xml:space="preserve">and arguably more complete — Auger loss.</w:t>
      </w:r>
    </w:p>
    <w:p>
      <w:pPr>
        <w:pStyle w:val="BodyText"/>
      </w:pPr>
      <w:r>
        <w:t xml:space="preserve">This produces a genuine, non-removable tension between two legitimate goals: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base V</w:t>
            </w:r>
            <w:r>
              <w:rPr>
                <w:vertAlign w:val="subscript"/>
              </w:rPr>
              <w:t xml:space="preserve">oc</w:t>
            </w:r>
          </w:p>
        </w:tc>
        <w:tc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Most-faithful physics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1.12–1.13 V</w:t>
            </w:r>
          </w:p>
        </w:tc>
        <w:tc>
          <w:p>
            <w:pPr>
              <w:pStyle w:val="Compact"/>
              <w:jc w:val="left"/>
            </w:pPr>
            <w:r>
              <w:t xml:space="preserve">effective-DOS transport + interface-plane recombination; sits at the</w:t>
            </w:r>
            <w:r>
              <w:t xml:space="preserve"> </w:t>
            </w:r>
            <w:r>
              <w:rPr>
                <w:bCs/>
                <w:b/>
              </w:rPr>
              <w:t xml:space="preserve">measured-device median</w:t>
            </w:r>
            <w:r>
              <w:t xml:space="preserve"> </w:t>
            </w:r>
            <w:r>
              <w:t xml:space="preserve">(1.05–1.13 V) for this MAPbI</w:t>
            </w:r>
            <w:r>
              <w:rPr>
                <w:vertAlign w:val="subscript"/>
              </w:rPr>
              <w:t xml:space="preserve">3</w:t>
            </w:r>
            <w:r>
              <w:t xml:space="preserve">/spiro/TiO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SCAPS reproduction</w:t>
            </w:r>
            <w:r>
              <w:t xml:space="preserve"> </w:t>
            </w:r>
            <w:r>
              <w:t xml:space="preserve">(explicit flag)</w:t>
            </w:r>
          </w:p>
        </w:tc>
        <w:tc>
          <w:p>
            <w:pPr>
              <w:pStyle w:val="Compact"/>
              <w:jc w:val="left"/>
            </w:pPr>
            <w:r>
              <w:t xml:space="preserve">1.168 V</w:t>
            </w:r>
          </w:p>
        </w:tc>
        <w:tc>
          <w:p>
            <w:pPr>
              <w:pStyle w:val="Compact"/>
              <w:jc w:val="left"/>
            </w:pPr>
            <w:r>
              <w:t xml:space="preserve">reproduces SCAPS by emulating its interface-Auger convention</w:t>
            </w:r>
          </w:p>
        </w:tc>
      </w:tr>
    </w:tbl>
    <w:p>
      <w:pPr>
        <w:pStyle w:val="BodyText"/>
      </w:pPr>
      <w:r>
        <w:t xml:space="preserve">Five independent fit-free configurations all place SolarLab’s faithful base at</w:t>
      </w:r>
      <w:r>
        <w:t xml:space="preserve"> </w:t>
      </w:r>
      <w:r>
        <w:t xml:space="preserve">1.12–1.13 V; SCAPS’s 1.168 V is reachable only by an explicit emulation setting.</w:t>
      </w:r>
      <w:r>
        <w:t xml:space="preserve"> </w:t>
      </w:r>
      <w:r>
        <w:t xml:space="preserve">SCAPS’s value sits at the published champion ceiling rather than the device</w:t>
      </w:r>
      <w:r>
        <w:t xml:space="preserve"> </w:t>
      </w:r>
      <w:r>
        <w:t xml:space="preserve">median, so SolarLab’s lower base is the more device-realistic figure. We</w:t>
      </w:r>
      <w:r>
        <w:t xml:space="preserve"> </w:t>
      </w:r>
      <w:r>
        <w:t xml:space="preserve">therefore ship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modes: the faithful physics as the default, and a</w:t>
      </w:r>
      <w:r>
        <w:t xml:space="preserve"> </w:t>
      </w:r>
      <w:r>
        <w:t xml:space="preserve">flag-gated SCAPS-emulation correction (</w:t>
      </w:r>
      <w:r>
        <w:rPr>
          <w:rStyle w:val="VerbatimChar"/>
        </w:rPr>
        <w:t xml:space="preserve">het_recomb_despike</w:t>
      </w:r>
      <w:r>
        <w:t xml:space="preserve">) for partner</w:t>
      </w:r>
      <w:r>
        <w:t xml:space="preserve"> </w:t>
      </w:r>
      <w:r>
        <w:t xml:space="preserve">cross-validation, which recovers the SCAPS base to within 1 mV and, as a</w:t>
      </w:r>
      <w:r>
        <w:t xml:space="preserve"> </w:t>
      </w:r>
      <w:r>
        <w:t xml:space="preserve">by-product, tightens five trend magnitudes (CBO 80→85 %, bulk N</w:t>
      </w:r>
      <w:r>
        <w:rPr>
          <w:vertAlign w:val="subscript"/>
        </w:rPr>
        <w:t xml:space="preserve">t</w:t>
      </w:r>
      <w:r>
        <w:t xml:space="preserve"> </w:t>
      </w:r>
      <w:r>
        <w:t xml:space="preserve">11→69 %,</w:t>
      </w:r>
      <w:r>
        <w:t xml:space="preserve"> </w:t>
      </w:r>
      <w:r>
        <w:t xml:space="preserve">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53→72 %).</w:t>
      </w:r>
    </w:p>
    <w:p>
      <w:pPr>
        <w:pStyle w:val="BodyText"/>
      </w:pPr>
      <w:r>
        <w:t xml:space="preserve">Two of the eleven sweeps — ETL donor doping and the HTL/PVK interface</w:t>
      </w:r>
      <w:r>
        <w:t xml:space="preserve"> </w:t>
      </w:r>
      <w:r>
        <w:t xml:space="preserve">defect density — reverse or flatten in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on the fast transient path,</w:t>
      </w:r>
      <w:r>
        <w:t xml:space="preserve"> </w:t>
      </w:r>
      <w:r>
        <w:t xml:space="preserve">because that path samples interface recombination at bulk grid nodes rather</w:t>
      </w:r>
      <w:r>
        <w:t xml:space="preserve"> </w:t>
      </w:r>
      <w:r>
        <w:t xml:space="preserve">than the interface plane. Routing those sweeps through the steady-state driver</w:t>
      </w:r>
      <w:r>
        <w:t xml:space="preserve"> </w:t>
      </w:r>
      <w:r>
        <w:t xml:space="preserve">with explicit interface-plane carrier states recovers the correct direction:</w:t>
      </w:r>
      <w:r>
        <w:t xml:space="preserve"> </w:t>
      </w:r>
      <w:r>
        <w:t xml:space="preserve">the ETL-doping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rises with doping (+105 mV measured versus SCAPS’s +48,</w:t>
      </w:r>
      <w:r>
        <w:t xml:space="preserve"> </w:t>
      </w:r>
      <w:r>
        <w:t xml:space="preserve">direction matched) and the HTL/PVK interface response drops with defect density</w:t>
      </w:r>
      <w:r>
        <w:t xml:space="preserve"> </w:t>
      </w:r>
      <w:r>
        <w:t xml:space="preserve">(−29 mV versus SCAPS’s −5, direction matched). With the interface-plane states</w:t>
      </w:r>
      <w:r>
        <w:t xml:space="preserve"> </w:t>
      </w:r>
      <w:r>
        <w:t xml:space="preserve">active,</w:t>
      </w:r>
      <w:r>
        <w:t xml:space="preserve"> </w:t>
      </w:r>
      <w:r>
        <w:rPr>
          <w:bCs/>
          <w:b/>
        </w:rPr>
        <w:t xml:space="preserve">all eleven sweep directions reproduce SCAPS</w:t>
      </w:r>
      <w:r>
        <w:t xml:space="preserve">; the two recovered</w:t>
      </w:r>
      <w:r>
        <w:t xml:space="preserve"> </w:t>
      </w:r>
      <w:r>
        <w:t xml:space="preserve">sweeps then over-respond in magnitude (the interface-plane channel is</w:t>
      </w:r>
      <w:r>
        <w:t xml:space="preserve"> </w:t>
      </w:r>
      <w:r>
        <w:t xml:space="preserve">over-strong — its carrier-density calibration is the named residual, scoped to</w:t>
      </w:r>
      <w:r>
        <w:t xml:space="preserve"> </w:t>
      </w:r>
      <w:r>
        <w:t xml:space="preserve">the steady-state interface-physics work).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trends</w:t>
      </w:r>
      <w:r>
        <w:t xml:space="preserve"> </w:t>
      </w:r>
      <w:r>
        <w:t xml:space="preserve">therefore reproduce faithfully — every sweep direction</w:t>
      </w:r>
      <w:r>
        <w:t xml:space="preserve"> </w:t>
      </w:r>
      <w:r>
        <w:t xml:space="preserve">matches (the two interface-doping sweeps via the interface-plane states above),</w:t>
      </w:r>
      <w:r>
        <w:t xml:space="preserve"> </w:t>
      </w:r>
      <w:r>
        <w:t xml:space="preserve">with magnitudes at 53–87 % of SCAPS; the residual magnitude gap is SCAPS’s</w:t>
      </w:r>
      <w:r>
        <w:t xml:space="preserve"> </w:t>
      </w:r>
      <w:r>
        <w:t xml:space="preserve">specific thermionic-emission /</w:t>
      </w:r>
      <w:r>
        <w:t xml:space="preserve"> </w:t>
      </w:r>
      <w:r>
        <w:t xml:space="preserve">Pauwels-Vanhoutte interface convention. Only the base</w:t>
      </w:r>
      <w:r>
        <w:t xml:space="preserve"> </w:t>
      </w:r>
      <w:r>
        <w:rPr>
          <w:iCs/>
          <w:i/>
        </w:rPr>
        <w:t xml:space="preserve">absolute</w:t>
      </w:r>
      <w:r>
        <w:t xml:space="preserve"> </w:t>
      </w:r>
      <w:r>
        <w:t xml:space="preserve">requires the</w:t>
      </w:r>
      <w:r>
        <w:t xml:space="preserve"> </w:t>
      </w:r>
      <w:r>
        <w:t xml:space="preserve">faithful-versus-emulation choice above.</w:t>
      </w:r>
    </w:p>
    <w:bookmarkEnd w:id="38"/>
    <w:bookmarkEnd w:id="39"/>
    <w:bookmarkStart w:id="40" w:name="conclusion-and-outlook"/>
    <w:p>
      <w:pPr>
        <w:pStyle w:val="Heading1"/>
      </w:pPr>
      <w:r>
        <w:t xml:space="preserve">6. Conclusion and outlook</w:t>
      </w:r>
    </w:p>
    <w:p>
      <w:pPr>
        <w:pStyle w:val="FirstParagraph"/>
      </w:pPr>
      <w:r>
        <w:t xml:space="preserve">With the effective-DOS transport correction every sweep trend reproduces in</w:t>
      </w:r>
      <w:r>
        <w:t xml:space="preserve"> </w:t>
      </w:r>
      <w:r>
        <w:t xml:space="preserve">direction, six of eleven matching SCAPS in magnitude with the remainder partial,</w:t>
      </w:r>
      <w:r>
        <w:t xml:space="preserve"> </w:t>
      </w:r>
      <w:r>
        <w:t xml:space="preserve">and the base operating point agreeing with SCAPS to 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the</w:t>
      </w:r>
      <w:r>
        <w:t xml:space="preserve"> </w:t>
      </w:r>
      <w:r>
        <w:t xml:space="preserve">faithful default mode (to within 1 mV in the SCAPS-emulation mode of Section</w:t>
      </w:r>
      <w:r>
        <w:t xml:space="preserve"> </w:t>
      </w:r>
      <w:r>
        <w:t xml:space="preserve">5.3). The base offset is now root-caused to absorber Auger recombination at the</w:t>
      </w:r>
      <w:r>
        <w:t xml:space="preserve"> </w:t>
      </w:r>
      <w:r>
        <w:t xml:space="preserve">HTL/PVK band offset (Section 5.3), not the interface channel as previously</w:t>
      </w:r>
      <w:r>
        <w:t xml:space="preserve"> </w:t>
      </w:r>
      <w:r>
        <w:t xml:space="preserve">believed; SolarLab’s faithful base sits at the measured-device median while</w:t>
      </w:r>
      <w:r>
        <w:t xml:space="preserve"> </w:t>
      </w:r>
      <w:r>
        <w:t xml:space="preserve">SCAPS sits at the champion ceiling, so the two are reconciled by an explicit,</w:t>
      </w:r>
      <w:r>
        <w:t xml:space="preserve"> </w:t>
      </w:r>
      <w:r>
        <w:t xml:space="preserve">flag-gated emulation rather than by degrading either model. Every physically</w:t>
      </w:r>
      <w:r>
        <w:t xml:space="preserve"> </w:t>
      </w:r>
      <w:r>
        <w:t xml:space="preserve">well-posed result satisfies the governing bounds. We recommend the corrected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on the SCAPS-mirror device) as the validated baseline.</w:t>
      </w:r>
      <w:r>
        <w:t xml:space="preserve"> </w:t>
      </w:r>
      <w:r>
        <w:t xml:space="preserve">The first structural step toward closing it — the interface-plane closure of</w:t>
      </w:r>
      <w:r>
        <w:t xml:space="preserve"> </w:t>
      </w:r>
      <w:r>
        <w:t xml:space="preserve">Section 5.1 — is now in the codebase behind an explicit flag and improves the</w:t>
      </w:r>
      <w:r>
        <w:t xml:space="preserve"> </w:t>
      </w:r>
      <w:r>
        <w:t xml:space="preserve">HTL/PVK interface response from flat to 70 % of SCAPS without degrading any</w:t>
      </w:r>
      <w:r>
        <w:t xml:space="preserve"> </w:t>
      </w:r>
      <w:r>
        <w:t xml:space="preserve">matched trend. That steady-state solve has since been built (Section 5.2): the two</w:t>
      </w:r>
      <w:r>
        <w:t xml:space="preserve"> </w:t>
      </w:r>
      <w:r>
        <w:t xml:space="preserve">solution methods now cross-validate within 5 mV, the voltage-grid artefact is</w:t>
      </w:r>
      <w:r>
        <w:t xml:space="preserve"> </w:t>
      </w:r>
      <w:r>
        <w:t xml:space="preserve">eliminated, and the low-doping arm is settled as a model-convention</w:t>
      </w:r>
      <w:r>
        <w:t xml:space="preserve"> </w:t>
      </w:r>
      <w:r>
        <w:t xml:space="preserve">difference rather than a solver limitation. The remaining open items (ETL</w:t>
      </w:r>
      <w:r>
        <w:t xml:space="preserve"> </w:t>
      </w:r>
      <w:r>
        <w:t xml:space="preserve">doping arm, PVK/ETL trap-energy magnitude, residual base offset) all trace to</w:t>
      </w:r>
      <w:r>
        <w:t xml:space="preserve"> </w:t>
      </w:r>
      <w:r>
        <w:t xml:space="preserve">SCAPS-specific model conventions — reproducing them is a well-scoped, separate</w:t>
      </w:r>
      <w:r>
        <w:t xml:space="preserve"> </w:t>
      </w:r>
      <w:r>
        <w:t xml:space="preserve">undertaking should closer absolute agreement be required. The transient</w:t>
      </w:r>
      <w:r>
        <w:t xml:space="preserve"> </w:t>
      </w:r>
      <w:r>
        <w:t xml:space="preserve">ion-migration capability — which SCAPS does not offer — is unaffected</w:t>
      </w:r>
      <w:r>
        <w:t xml:space="preserve"> </w:t>
      </w:r>
      <w:r>
        <w:t xml:space="preserve">throughout.</w:t>
      </w:r>
    </w:p>
    <w:bookmarkEnd w:id="40"/>
    <w:bookmarkStart w:id="41" w:name="appendix-a-reproducibility"/>
    <w:p>
      <w:pPr>
        <w:pStyle w:val="Heading1"/>
      </w:pPr>
      <w:r>
        <w:t xml:space="preserve">Appendix A: Reproducibility</w:t>
      </w:r>
    </w:p>
    <w:p>
      <w:pPr>
        <w:pStyle w:val="SourceCode"/>
      </w:pPr>
      <w:r>
        <w:rPr>
          <w:rStyle w:val="VerbatimChar"/>
        </w:rPr>
        <w:t xml:space="preserve">cd perovskite-sim</w:t>
      </w:r>
      <w:r>
        <w:br/>
      </w:r>
      <w:r>
        <w:rPr>
          <w:rStyle w:val="VerbatimChar"/>
        </w:rPr>
        <w:t xml:space="preserve">SOLARLAB_DOS_BAND=1 python scripts/run_scaps_full_regression.py \</w:t>
      </w:r>
      <w:r>
        <w:br/>
      </w:r>
      <w:r>
        <w:rPr>
          <w:rStyle w:val="VerbatimChar"/>
        </w:rPr>
        <w:t xml:space="preserve">    --out-dir outputs/full_dos_ON          # 10-sweep trend verdicts</w:t>
      </w:r>
      <w:r>
        <w:br/>
      </w:r>
      <w:r>
        <w:rPr>
          <w:rStyle w:val="VerbatimChar"/>
        </w:rPr>
        <w:t xml:space="preserve">SOLARLAB_DOS_BAND=1 python scripts/run_scaps_validation.py \</w:t>
      </w:r>
      <w:r>
        <w:br/>
      </w:r>
      <w:r>
        <w:rPr>
          <w:rStyle w:val="VerbatimChar"/>
        </w:rPr>
        <w:t xml:space="preserve">    --config configs/scaps_mirror_v2.yaml --out-dir outputs/dos_ON</w:t>
      </w:r>
      <w:r>
        <w:br/>
      </w:r>
      <w:r>
        <w:rPr>
          <w:rStyle w:val="VerbatimChar"/>
        </w:rPr>
        <w:t xml:space="preserve">SOLARLAB_DOS_BAND=1 python scripts/scaps_validation_figures.py \</w:t>
      </w:r>
      <w:r>
        <w:br/>
      </w:r>
      <w:r>
        <w:rPr>
          <w:rStyle w:val="VerbatimChar"/>
        </w:rPr>
        <w:t xml:space="preserve">    --out ../docs/figures/scaps_validation   # regenerate the overlays</w:t>
      </w:r>
    </w:p>
    <w:p>
      <w:pPr>
        <w:pStyle w:val="FirstParagraph"/>
      </w:pPr>
      <w:r>
        <w:t xml:space="preserve">Full technical detail is in</w:t>
      </w:r>
      <w:r>
        <w:t xml:space="preserve"> </w:t>
      </w:r>
      <w:r>
        <w:rPr>
          <w:rStyle w:val="VerbatimChar"/>
        </w:rPr>
        <w:t xml:space="preserve">docs/scaps_validation_report.md</w:t>
      </w:r>
      <w:r>
        <w:t xml:space="preserve">;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root-cause analysis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bookmarkEnd w:id="41"/>
    <w:bookmarkStart w:id="42" w:name="X8aeae421bbd1e89212f1b13ef0b4db982a0e6a9"/>
    <w:p>
      <w:pPr>
        <w:pStyle w:val="Heading1"/>
      </w:pPr>
      <w:r>
        <w:t xml:space="preserve">Appendix B: Reference results with the transport correction 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SolarLab range (off)</w:t>
            </w:r>
          </w:p>
        </w:tc>
        <w:tc>
          <w:p>
            <w:pPr>
              <w:pStyle w:val="Compact"/>
              <w:jc w:val="left"/>
            </w:pPr>
            <w:r>
              <w:t xml:space="preserve">SCAPS range</w:t>
            </w:r>
          </w:p>
        </w:tc>
        <w:tc>
          <w:p>
            <w:pPr>
              <w:pStyle w:val="Compact"/>
              <w:jc w:val="left"/>
            </w:pPr>
            <w:r>
              <w:t xml:space="preserve">Verdict (off)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780 mV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  <w:tc>
          <w:p>
            <w:pPr>
              <w:pStyle w:val="Compact"/>
              <w:jc w:val="left"/>
            </w:pPr>
            <w:r>
              <w:t xml:space="preserve">match (85 %)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34 mV</w:t>
            </w:r>
          </w:p>
        </w:tc>
        <w:tc>
          <w:p>
            <w:pPr>
              <w:pStyle w:val="Compact"/>
              <w:jc w:val="left"/>
            </w:pPr>
            <w:r>
              <w:t xml:space="preserve">direction mismatch at 10</w:t>
            </w:r>
            <w:r>
              <w:rPr>
                <w:vertAlign w:val="superscript"/>
              </w:rP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203 mV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  <w:tc>
          <w:p>
            <w:pPr>
              <w:pStyle w:val="Compact"/>
              <w:jc w:val="left"/>
            </w:pPr>
            <w:r>
              <w:t xml:space="preserve">match (72 %)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8 mV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weak (22 %)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23 mV</w:t>
            </w:r>
          </w:p>
        </w:tc>
        <w:tc>
          <w:p>
            <w:pPr>
              <w:pStyle w:val="Compact"/>
              <w:jc w:val="left"/>
            </w:pPr>
            <w:r>
              <w:t xml:space="preserve">100 mV</w:t>
            </w:r>
          </w:p>
        </w:tc>
        <w:tc>
          <w:p>
            <w:pPr>
              <w:pStyle w:val="Compact"/>
              <w:jc w:val="left"/>
            </w:pPr>
            <w:r>
              <w:t xml:space="preserve">open (flat vs rising)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5 mV</w:t>
            </w:r>
          </w:p>
        </w:tc>
        <w:tc>
          <w:p>
            <w:pPr>
              <w:pStyle w:val="Compact"/>
              <w:jc w:val="left"/>
            </w:pPr>
            <w:r>
              <w:t xml:space="preserve">near-flat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N</w:t>
            </w:r>
            <w:r>
              <w:rPr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(CB/VB)</w:t>
            </w:r>
          </w:p>
        </w:tc>
        <w:tc>
          <w:p>
            <w:pPr>
              <w:pStyle w:val="Compact"/>
              <w:jc w:val="left"/>
            </w:pPr>
            <w:r>
              <w:t xml:space="preserve">65 mV</w:t>
            </w:r>
          </w:p>
        </w:tc>
        <w:tc>
          <w:p>
            <w:pPr>
              <w:pStyle w:val="Compact"/>
              <w:jc w:val="left"/>
            </w:pPr>
            <w:r>
              <w:t xml:space="preserve">39/11 mV</w:t>
            </w:r>
          </w:p>
        </w:tc>
        <w:tc>
          <w:p>
            <w:pPr>
              <w:pStyle w:val="Compact"/>
              <w:jc w:val="left"/>
            </w:pPr>
            <w:r>
              <w:t xml:space="preserve">over-responds (less masked)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+ HTL/PVK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 mV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flat both</w:t>
            </w:r>
          </w:p>
        </w:tc>
      </w:tr>
    </w:tbl>
    <w:p>
      <w:pPr>
        <w:pStyle w:val="BodyText"/>
      </w:pPr>
      <w:r>
        <w:t xml:space="preserve">Table 3. Flag-off reference (base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1.079 V at the corrected grid). The</w:t>
      </w:r>
      <w:r>
        <w:t xml:space="preserve"> </w:t>
      </w:r>
      <w:r>
        <w:t xml:space="preserve">correction improves the base absolutes and the PVK-doping direction at the cost</w:t>
      </w:r>
      <w:r>
        <w:t xml:space="preserve"> </w:t>
      </w:r>
      <w:r>
        <w:t xml:space="preserve">of some interface-sweep closure; directions are preserved throughout. Note the</w:t>
      </w:r>
      <w:r>
        <w:t xml:space="preserve"> </w:t>
      </w:r>
      <w:r>
        <w:t xml:space="preserve">bulk-N</w:t>
      </w:r>
      <w:r>
        <w:rPr>
          <w:vertAlign w:val="subscript"/>
        </w:rPr>
        <w:t xml:space="preserve">t</w:t>
      </w:r>
      <w:r>
        <w:t xml:space="preserve"> </w:t>
      </w:r>
      <w:r>
        <w:t xml:space="preserve">sweep</w:t>
      </w:r>
      <w:r>
        <w:t xml:space="preserve"> </w:t>
      </w:r>
      <w:r>
        <w:rPr>
          <w:iCs/>
          <w:i/>
        </w:rPr>
        <w:t xml:space="preserve">over</w:t>
      </w:r>
      <w:r>
        <w:t xml:space="preserve">-responds with the transport correction off (65 mV vs the</w:t>
      </w:r>
      <w:r>
        <w:t xml:space="preserve"> </w:t>
      </w:r>
      <w:r>
        <w:t xml:space="preserve">SCAPS 39/11 mV): the lower flag-off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sits further from the</w:t>
      </w:r>
      <w:r>
        <w:t xml:space="preserve"> </w:t>
      </w:r>
      <w:r>
        <w:t xml:space="preserve">interface-recombination ceiling, so the bulk traps are less masked there — the</w:t>
      </w:r>
      <w:r>
        <w:t xml:space="preserve"> </w:t>
      </w:r>
      <w:r>
        <w:t xml:space="preserve">corrected-configuration 4 mV (Table 2) is the physically consistent value.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of the SolarLab Device Simulator against SCAPS-1D</dc:title>
  <dc:creator/>
  <cp:keywords/>
  <dcterms:created xsi:type="dcterms:W3CDTF">2026-06-15T13:01:09Z</dcterms:created>
  <dcterms:modified xsi:type="dcterms:W3CDTF">2026-06-15T13:01:09Z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</Properties>
</file>