
<file path=[Content_Types].xml><?xml version="1.0" encoding="utf-8"?>
<Types xmlns="http://schemas.openxmlformats.org/package/2006/content-types">
  <Default Extension="xml" ContentType="application/xml"/>
  <Default Extension="emf" ContentType="image/x-e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e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A74F78C">
      <w:pPr>
        <w:pStyle w:val="3"/>
        <w:jc w:val="center"/>
      </w:pPr>
      <w:r>
        <w:rPr>
          <w:rFonts w:ascii="Arial" w:hAnsi="Arial"/>
          <w:b w:val="0"/>
          <w:i w:val="0"/>
        </w:rPr>
        <w:t>SolarLab Paper-Reproduction Validation Figure</w:t>
      </w:r>
    </w:p>
    <w:p w14:paraId="05F3C6C4">
      <w:pPr>
        <w:jc w:val="center"/>
      </w:pPr>
      <w:r>
        <w:rPr>
          <w:rFonts w:ascii="Arial" w:hAnsi="Arial"/>
        </w:rPr>
        <w:drawing>
          <wp:inline distT="0" distB="0" distL="114300" distR="114300">
            <wp:extent cx="9326880" cy="5645150"/>
            <wp:effectExtent l="0" t="0" r="20320" b="190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9326880" cy="56451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DA484C">
      <w:r>
        <w:rPr>
          <w:rFonts w:ascii="Arial" w:hAnsi="Arial"/>
          <w:b/>
          <w:i w:val="0"/>
        </w:rPr>
        <w:t xml:space="preserve">Key point: </w:t>
      </w:r>
      <w:r>
        <w:rPr>
          <w:rFonts w:ascii="Arial" w:hAnsi="Arial"/>
          <w:b w:val="0"/>
          <w:i w:val="0"/>
        </w:rPr>
        <w:t>the comparison asks whether SolarLab can reproduce the published photovoltaic benchmarks after using literature-aligned model conventions. The baseline model is the unadjusted SolarLab implementation; the literature-aligned model uses the legacy physics convention and V</w:t>
      </w:r>
      <w:r>
        <w:rPr>
          <w:rFonts w:ascii="Arial" w:hAnsi="Arial"/>
          <w:b w:val="0"/>
          <w:i w:val="0"/>
          <w:vertAlign w:val="subscript"/>
        </w:rPr>
        <w:t>bi</w:t>
      </w:r>
      <w:r>
        <w:rPr>
          <w:rFonts w:ascii="Arial" w:hAnsi="Arial"/>
          <w:b w:val="0"/>
          <w:i w:val="0"/>
        </w:rPr>
        <w:t xml:space="preserve"> choices needed to compare directly with the published studies.</w:t>
      </w:r>
    </w:p>
    <w:p w14:paraId="7A2B3D92">
      <w:pPr>
        <w:pStyle w:val="4"/>
      </w:pPr>
      <w:r>
        <w:rPr>
          <w:rFonts w:ascii="Arial" w:hAnsi="Arial"/>
          <w:b w:val="0"/>
          <w:i w:val="0"/>
        </w:rPr>
        <w:t>Terminology Used in the Figure</w:t>
      </w:r>
    </w:p>
    <w:p w14:paraId="6689A219">
      <w:r>
        <w:rPr>
          <w:rFonts w:ascii="Arial" w:hAnsi="Arial"/>
          <w:b/>
          <w:i w:val="0"/>
        </w:rPr>
        <w:t xml:space="preserve">Published benchmark: </w:t>
      </w:r>
      <w:r>
        <w:rPr>
          <w:rFonts w:ascii="Arial" w:hAnsi="Arial"/>
          <w:b w:val="0"/>
          <w:i w:val="0"/>
        </w:rPr>
        <w:t>The target number or range reported in the original paper, such as V</w:t>
      </w:r>
      <w:r>
        <w:rPr>
          <w:rFonts w:ascii="Arial" w:hAnsi="Arial"/>
          <w:b w:val="0"/>
          <w:i w:val="0"/>
          <w:vertAlign w:val="subscript"/>
        </w:rPr>
        <w:t>oc</w:t>
      </w:r>
      <w:r>
        <w:rPr>
          <w:rFonts w:ascii="Arial" w:hAnsi="Arial"/>
          <w:b w:val="0"/>
          <w:i w:val="0"/>
        </w:rPr>
        <w:t>, J</w:t>
      </w:r>
      <w:r>
        <w:rPr>
          <w:rFonts w:ascii="Arial" w:hAnsi="Arial"/>
          <w:b w:val="0"/>
          <w:i w:val="0"/>
          <w:vertAlign w:val="subscript"/>
        </w:rPr>
        <w:t>sc</w:t>
      </w:r>
      <w:r>
        <w:rPr>
          <w:rFonts w:ascii="Arial" w:hAnsi="Arial"/>
          <w:b w:val="0"/>
          <w:i w:val="0"/>
        </w:rPr>
        <w:t>, or FF.</w:t>
      </w:r>
    </w:p>
    <w:p w14:paraId="594C099D">
      <w:r>
        <w:rPr>
          <w:rFonts w:ascii="Arial" w:hAnsi="Arial"/>
          <w:b/>
          <w:i w:val="0"/>
        </w:rPr>
        <w:t xml:space="preserve">SolarLab baseline model: </w:t>
      </w:r>
      <w:r>
        <w:rPr>
          <w:rFonts w:ascii="Arial" w:hAnsi="Arial"/>
          <w:b w:val="0"/>
          <w:i w:val="0"/>
        </w:rPr>
        <w:t>The default SolarLab configuration before applying paper-specific conventions. It is useful for diagnosing why the model differs from the literature.</w:t>
      </w:r>
    </w:p>
    <w:p w14:paraId="56B67D67">
      <w:r>
        <w:rPr>
          <w:rFonts w:ascii="Arial" w:hAnsi="Arial"/>
          <w:b/>
          <w:i w:val="0"/>
        </w:rPr>
        <w:t xml:space="preserve">Literature-aligned model: </w:t>
      </w:r>
      <w:r>
        <w:rPr>
          <w:rFonts w:ascii="Arial" w:hAnsi="Arial"/>
          <w:b w:val="0"/>
          <w:i w:val="0"/>
        </w:rPr>
        <w:t>The SolarLab configuration after adopting the relevant literature conventions, such as the legacy electrostatic convention, recombination setting, and built-in voltage V</w:t>
      </w:r>
      <w:r>
        <w:rPr>
          <w:rFonts w:ascii="Arial" w:hAnsi="Arial"/>
          <w:b w:val="0"/>
          <w:i w:val="0"/>
          <w:vertAlign w:val="subscript"/>
        </w:rPr>
        <w:t>bi</w:t>
      </w:r>
      <w:r>
        <w:rPr>
          <w:rFonts w:ascii="Arial" w:hAnsi="Arial"/>
          <w:b w:val="0"/>
          <w:i w:val="0"/>
        </w:rPr>
        <w:t xml:space="preserve"> used for the published comparison.</w:t>
      </w:r>
    </w:p>
    <w:p w14:paraId="6AC82402">
      <w:pPr>
        <w:pStyle w:val="4"/>
      </w:pPr>
      <w:r>
        <w:rPr>
          <w:rFonts w:ascii="Arial" w:hAnsi="Arial"/>
          <w:b w:val="0"/>
          <w:i w:val="0"/>
        </w:rPr>
        <w:t>Panel-By-Panel Reading Guide</w:t>
      </w:r>
    </w:p>
    <w:p w14:paraId="4A766D27">
      <w:r>
        <w:rPr>
          <w:rFonts w:ascii="Arial" w:hAnsi="Arial"/>
          <w:b/>
          <w:i w:val="0"/>
        </w:rPr>
        <w:t xml:space="preserve">A: </w:t>
      </w:r>
      <w:r>
        <w:rPr>
          <w:rFonts w:ascii="Arial" w:hAnsi="Arial"/>
          <w:b w:val="0"/>
          <w:i w:val="0"/>
        </w:rPr>
        <w:t>IonMonger J-V compares the SolarLab baseline model with the Courtier-aligned model. The dashed vertical line is the published V</w:t>
      </w:r>
      <w:r>
        <w:rPr>
          <w:rFonts w:ascii="Arial" w:hAnsi="Arial"/>
          <w:b w:val="0"/>
          <w:i w:val="0"/>
          <w:vertAlign w:val="subscript"/>
        </w:rPr>
        <w:t>oc</w:t>
      </w:r>
      <w:r>
        <w:rPr>
          <w:rFonts w:ascii="Arial" w:hAnsi="Arial"/>
          <w:b w:val="0"/>
          <w:i w:val="0"/>
        </w:rPr>
        <w:t xml:space="preserve"> benchmark. The literature-aligned curve moves close to the published V</w:t>
      </w:r>
      <w:r>
        <w:rPr>
          <w:rFonts w:ascii="Arial" w:hAnsi="Arial"/>
          <w:b w:val="0"/>
          <w:i w:val="0"/>
          <w:vertAlign w:val="subscript"/>
        </w:rPr>
        <w:t>oc</w:t>
      </w:r>
      <w:r>
        <w:rPr>
          <w:rFonts w:ascii="Arial" w:hAnsi="Arial"/>
          <w:b w:val="0"/>
          <w:i w:val="0"/>
        </w:rPr>
        <w:t>.</w:t>
      </w:r>
    </w:p>
    <w:p w14:paraId="4DB12C4B">
      <w:r>
        <w:rPr>
          <w:rFonts w:ascii="Arial" w:hAnsi="Arial"/>
          <w:b/>
          <w:i w:val="0"/>
        </w:rPr>
        <w:t xml:space="preserve">B: </w:t>
      </w:r>
      <w:r>
        <w:rPr>
          <w:rFonts w:ascii="Arial" w:hAnsi="Arial"/>
          <w:b w:val="0"/>
          <w:i w:val="0"/>
        </w:rPr>
        <w:t>Driftfusion J-V compares the SolarLab baseline model with the Calado-aligned model. The gray band is the published V</w:t>
      </w:r>
      <w:r>
        <w:rPr>
          <w:rFonts w:ascii="Arial" w:hAnsi="Arial"/>
          <w:b w:val="0"/>
          <w:i w:val="0"/>
          <w:vertAlign w:val="subscript"/>
        </w:rPr>
        <w:t>oc</w:t>
      </w:r>
      <w:r>
        <w:rPr>
          <w:rFonts w:ascii="Arial" w:hAnsi="Arial"/>
          <w:b w:val="0"/>
          <w:i w:val="0"/>
        </w:rPr>
        <w:t xml:space="preserve"> range. The literature-aligned curve moves into the benchmark interval.</w:t>
      </w:r>
    </w:p>
    <w:p w14:paraId="5DDEDEB9">
      <w:r>
        <w:rPr>
          <w:rFonts w:ascii="Arial" w:hAnsi="Arial"/>
          <w:b/>
          <w:i w:val="0"/>
        </w:rPr>
        <w:t xml:space="preserve">C: </w:t>
      </w:r>
      <w:r>
        <w:rPr>
          <w:rFonts w:ascii="Arial" w:hAnsi="Arial"/>
          <w:b w:val="0"/>
          <w:i w:val="0"/>
        </w:rPr>
        <w:t>The table summarizes the numerical comparison: published benchmark, literature-aligned model value, and delta. Range deltas are computed relative to the midpoint.</w:t>
      </w:r>
    </w:p>
    <w:p w14:paraId="4E8CA1A4">
      <w:r>
        <w:rPr>
          <w:rFonts w:ascii="Arial" w:hAnsi="Arial"/>
          <w:b/>
          <w:i w:val="0"/>
        </w:rPr>
        <w:t xml:space="preserve">D: </w:t>
      </w:r>
      <w:r>
        <w:rPr>
          <w:rFonts w:ascii="Arial" w:hAnsi="Arial"/>
          <w:b w:val="0"/>
          <w:i w:val="0"/>
        </w:rPr>
        <w:t>The device configuration panel shows that both tests use the same p-i-n layer order: spiro HTL, MAPbI</w:t>
      </w:r>
      <w:r>
        <w:rPr>
          <w:rFonts w:ascii="Arial" w:hAnsi="Arial"/>
          <w:b w:val="0"/>
          <w:i w:val="0"/>
          <w:vertAlign w:val="subscript"/>
        </w:rPr>
        <w:t>3</w:t>
      </w:r>
      <w:r>
        <w:rPr>
          <w:rFonts w:ascii="Arial" w:hAnsi="Arial"/>
          <w:b w:val="0"/>
          <w:i w:val="0"/>
        </w:rPr>
        <w:t xml:space="preserve"> absorber, and TiO</w:t>
      </w:r>
      <w:r>
        <w:rPr>
          <w:rFonts w:ascii="Arial" w:hAnsi="Arial"/>
          <w:b w:val="0"/>
          <w:i w:val="0"/>
          <w:vertAlign w:val="subscript"/>
        </w:rPr>
        <w:t>2</w:t>
      </w:r>
      <w:r>
        <w:rPr>
          <w:rFonts w:ascii="Arial" w:hAnsi="Arial"/>
          <w:b w:val="0"/>
          <w:i w:val="0"/>
        </w:rPr>
        <w:t xml:space="preserve"> ETL. The main changes are physics conventions and V</w:t>
      </w:r>
      <w:r>
        <w:rPr>
          <w:rFonts w:ascii="Arial" w:hAnsi="Arial"/>
          <w:b w:val="0"/>
          <w:i w:val="0"/>
          <w:vertAlign w:val="subscript"/>
        </w:rPr>
        <w:t>bi</w:t>
      </w:r>
      <w:r>
        <w:rPr>
          <w:rFonts w:ascii="Arial" w:hAnsi="Arial"/>
          <w:b w:val="0"/>
          <w:i w:val="0"/>
        </w:rPr>
        <w:t>, not the stack sequence.</w:t>
      </w:r>
    </w:p>
    <w:p w14:paraId="346D9313">
      <w:r>
        <w:rPr>
          <w:rFonts w:ascii="Arial" w:hAnsi="Arial"/>
          <w:b/>
          <w:i w:val="0"/>
        </w:rPr>
        <w:t xml:space="preserve">E: </w:t>
      </w:r>
      <w:r>
        <w:rPr>
          <w:rFonts w:ascii="Arial" w:hAnsi="Arial"/>
          <w:b w:val="0"/>
          <w:i w:val="0"/>
        </w:rPr>
        <w:t>The optics check compares Beer-Lambert and TMM optics at fixed V</w:t>
      </w:r>
      <w:r>
        <w:rPr>
          <w:rFonts w:ascii="Arial" w:hAnsi="Arial"/>
          <w:b w:val="0"/>
          <w:i w:val="0"/>
          <w:vertAlign w:val="subscript"/>
        </w:rPr>
        <w:t>bi</w:t>
      </w:r>
      <w:r>
        <w:rPr>
          <w:rFonts w:ascii="Arial" w:hAnsi="Arial"/>
          <w:b w:val="0"/>
          <w:i w:val="0"/>
        </w:rPr>
        <w:t>. This separates optical-generation effects from voltage-calibration effects.</w:t>
      </w:r>
    </w:p>
    <w:p w14:paraId="6A3A41A8">
      <w:r>
        <w:rPr>
          <w:rFonts w:ascii="Arial" w:hAnsi="Arial"/>
          <w:b/>
          <w:i w:val="0"/>
        </w:rPr>
        <w:t xml:space="preserve">F: </w:t>
      </w:r>
      <w:r>
        <w:rPr>
          <w:rFonts w:ascii="Arial" w:hAnsi="Arial"/>
          <w:b w:val="0"/>
          <w:i w:val="0"/>
        </w:rPr>
        <w:t>The Suns-V</w:t>
      </w:r>
      <w:r>
        <w:rPr>
          <w:rFonts w:ascii="Arial" w:hAnsi="Arial"/>
          <w:b w:val="0"/>
          <w:i w:val="0"/>
          <w:vertAlign w:val="subscript"/>
        </w:rPr>
        <w:t>oc</w:t>
      </w:r>
      <w:r>
        <w:rPr>
          <w:rFonts w:ascii="Arial" w:hAnsi="Arial"/>
          <w:b w:val="0"/>
          <w:i w:val="0"/>
        </w:rPr>
        <w:t xml:space="preserve"> check confirms that the literature-aligned Driftfusion model still gives a physical logarithmic response to illumination. The slope is written as dV</w:t>
      </w:r>
      <w:r>
        <w:rPr>
          <w:rFonts w:ascii="Arial" w:hAnsi="Arial"/>
          <w:b w:val="0"/>
          <w:i w:val="0"/>
          <w:vertAlign w:val="subscript"/>
        </w:rPr>
        <w:t>oc</w:t>
      </w:r>
      <w:r>
        <w:rPr>
          <w:rFonts w:ascii="Arial" w:hAnsi="Arial"/>
          <w:b w:val="0"/>
          <w:i w:val="0"/>
        </w:rPr>
        <w:t>/d ln(Phi/Φ</w:t>
      </w:r>
      <w:r>
        <w:rPr>
          <w:rFonts w:ascii="Arial" w:hAnsi="Arial"/>
          <w:b w:val="0"/>
          <w:i w:val="0"/>
          <w:vertAlign w:val="subscript"/>
        </w:rPr>
        <w:t>1sun</w:t>
      </w:r>
      <w:r>
        <w:rPr>
          <w:rFonts w:ascii="Arial" w:hAnsi="Arial"/>
          <w:b w:val="0"/>
          <w:i w:val="0"/>
        </w:rPr>
        <w:t>), which is more formal than saying per ln-unit.</w:t>
      </w:r>
    </w:p>
    <w:p w14:paraId="5E742A4B">
      <w:pPr>
        <w:pStyle w:val="4"/>
      </w:pPr>
      <w:r>
        <w:rPr>
          <w:rFonts w:ascii="Arial" w:hAnsi="Arial"/>
          <w:b w:val="0"/>
          <w:i w:val="0"/>
        </w:rPr>
        <w:t>Explanation of n</w:t>
      </w:r>
      <w:r>
        <w:rPr>
          <w:rFonts w:ascii="Arial" w:hAnsi="Arial"/>
          <w:b w:val="0"/>
          <w:i w:val="0"/>
          <w:vertAlign w:val="subscript"/>
        </w:rPr>
        <w:t>id</w:t>
      </w:r>
      <w:r>
        <w:rPr>
          <w:rFonts w:ascii="Arial" w:hAnsi="Arial"/>
          <w:b w:val="0"/>
          <w:i w:val="0"/>
        </w:rPr>
        <w:t xml:space="preserve"> in Panel F</w:t>
      </w:r>
    </w:p>
    <w:p w14:paraId="5A790769">
      <w:r>
        <w:rPr>
          <w:rFonts w:ascii="Arial" w:hAnsi="Arial"/>
          <w:b/>
          <w:i w:val="0"/>
        </w:rPr>
        <w:t xml:space="preserve">Meaning: </w:t>
      </w:r>
      <w:r>
        <w:rPr>
          <w:rFonts w:ascii="Arial" w:hAnsi="Arial"/>
          <w:b w:val="0"/>
          <w:i w:val="0"/>
        </w:rPr>
        <w:t>n</w:t>
      </w:r>
      <w:r>
        <w:rPr>
          <w:rFonts w:ascii="Arial" w:hAnsi="Arial"/>
          <w:b w:val="0"/>
          <w:i w:val="0"/>
          <w:vertAlign w:val="subscript"/>
        </w:rPr>
        <w:t>id</w:t>
      </w:r>
      <w:r>
        <w:rPr>
          <w:rFonts w:ascii="Arial" w:hAnsi="Arial"/>
          <w:b w:val="0"/>
          <w:i w:val="0"/>
        </w:rPr>
        <w:t xml:space="preserve"> is the diode ideality factor. It is a compact indicator of how close the simulated solar cell is to ideal diode behavior.</w:t>
      </w:r>
    </w:p>
    <w:p w14:paraId="3960CE25">
      <w:r>
        <w:rPr>
          <w:rFonts w:ascii="Arial" w:hAnsi="Arial"/>
          <w:b/>
          <w:i w:val="0"/>
        </w:rPr>
        <w:t xml:space="preserve">How it is estimated: </w:t>
      </w:r>
      <w:r>
        <w:rPr>
          <w:rFonts w:ascii="Arial" w:hAnsi="Arial"/>
          <w:b w:val="0"/>
          <w:i w:val="0"/>
        </w:rPr>
        <w:t>Panel F fits the slope of V</w:t>
      </w:r>
      <w:r>
        <w:rPr>
          <w:rFonts w:ascii="Arial" w:hAnsi="Arial"/>
          <w:b w:val="0"/>
          <w:i w:val="0"/>
          <w:vertAlign w:val="subscript"/>
        </w:rPr>
        <w:t>oc</w:t>
      </w:r>
      <w:r>
        <w:rPr>
          <w:rFonts w:ascii="Arial" w:hAnsi="Arial"/>
          <w:b w:val="0"/>
          <w:i w:val="0"/>
        </w:rPr>
        <w:t xml:space="preserve"> versus ln(Phi/Φ</w:t>
      </w:r>
      <w:r>
        <w:rPr>
          <w:rFonts w:ascii="Arial" w:hAnsi="Arial"/>
          <w:b w:val="0"/>
          <w:i w:val="0"/>
          <w:vertAlign w:val="subscript"/>
        </w:rPr>
        <w:t>1sun</w:t>
      </w:r>
      <w:r>
        <w:rPr>
          <w:rFonts w:ascii="Arial" w:hAnsi="Arial"/>
          <w:b w:val="0"/>
          <w:i w:val="0"/>
        </w:rPr>
        <w:t>). At room temperature, kT/q is about 25.85 mV, so n</w:t>
      </w:r>
      <w:r>
        <w:rPr>
          <w:rFonts w:ascii="Arial" w:hAnsi="Arial"/>
          <w:b w:val="0"/>
          <w:i w:val="0"/>
          <w:vertAlign w:val="subscript"/>
        </w:rPr>
        <w:t>id</w:t>
      </w:r>
      <w:r>
        <w:rPr>
          <w:rFonts w:ascii="Arial" w:hAnsi="Arial"/>
          <w:b w:val="0"/>
          <w:i w:val="0"/>
        </w:rPr>
        <w:t xml:space="preserve"> is estimated as slope divided by kT/q.</w:t>
      </w:r>
    </w:p>
    <w:p w14:paraId="6C499079">
      <w:r>
        <w:rPr>
          <w:rFonts w:ascii="Arial" w:hAnsi="Arial"/>
          <w:b/>
          <w:i w:val="0"/>
        </w:rPr>
        <w:t xml:space="preserve">Value in this figure: </w:t>
      </w:r>
      <w:r>
        <w:rPr>
          <w:rFonts w:ascii="Arial" w:hAnsi="Arial"/>
          <w:b w:val="0"/>
          <w:i w:val="0"/>
        </w:rPr>
        <w:t>The fitted slope is about 62.3 mV, giving n</w:t>
      </w:r>
      <w:r>
        <w:rPr>
          <w:rFonts w:ascii="Arial" w:hAnsi="Arial"/>
          <w:b w:val="0"/>
          <w:i w:val="0"/>
          <w:vertAlign w:val="subscript"/>
        </w:rPr>
        <w:t>id</w:t>
      </w:r>
      <w:r>
        <w:rPr>
          <w:rFonts w:ascii="Arial" w:hAnsi="Arial"/>
          <w:b w:val="0"/>
          <w:i w:val="0"/>
        </w:rPr>
        <w:t xml:space="preserve"> ≈ 62.3/25.85 ≈ 2.4.</w:t>
      </w:r>
    </w:p>
    <w:p w14:paraId="1D125BB3">
      <w:pPr>
        <w:rPr>
          <w:rFonts w:ascii="Arial" w:hAnsi="Arial"/>
          <w:b/>
          <w:i w:val="0"/>
        </w:rPr>
      </w:pPr>
      <w:r>
        <w:rPr>
          <w:rFonts w:ascii="Arial" w:hAnsi="Arial"/>
          <w:b/>
          <w:i w:val="0"/>
        </w:rPr>
        <w:t xml:space="preserve">Physical interpretation: </w:t>
      </w:r>
    </w:p>
    <w:p w14:paraId="0FA39CAC">
      <w:pPr>
        <w:rPr>
          <w:rFonts w:ascii="Arial" w:hAnsi="Arial"/>
          <w:b w:val="0"/>
          <w:i w:val="0"/>
        </w:rPr>
      </w:pPr>
      <w:r>
        <w:rPr>
          <w:rFonts w:ascii="Arial" w:hAnsi="Arial"/>
          <w:b w:val="0"/>
          <w:i w:val="0"/>
        </w:rPr>
        <w:t>n</w:t>
      </w:r>
      <w:r>
        <w:rPr>
          <w:rFonts w:ascii="Arial" w:hAnsi="Arial"/>
          <w:b w:val="0"/>
          <w:i w:val="0"/>
          <w:vertAlign w:val="subscript"/>
        </w:rPr>
        <w:t>id</w:t>
      </w:r>
      <w:r>
        <w:rPr>
          <w:rFonts w:ascii="Arial" w:hAnsi="Arial"/>
          <w:b w:val="0"/>
          <w:i w:val="0"/>
        </w:rPr>
        <w:t xml:space="preserve"> close to 1 usually indicates more ideal diode behavior.</w:t>
      </w:r>
    </w:p>
    <w:p w14:paraId="0DE283CC">
      <w:pPr>
        <w:rPr>
          <w:rFonts w:ascii="Arial" w:hAnsi="Arial"/>
          <w:b w:val="0"/>
          <w:i w:val="0"/>
        </w:rPr>
      </w:pPr>
      <w:r>
        <w:rPr>
          <w:rFonts w:ascii="Arial" w:hAnsi="Arial"/>
          <w:b w:val="0"/>
          <w:i w:val="0"/>
        </w:rPr>
        <w:t>n</w:t>
      </w:r>
      <w:r>
        <w:rPr>
          <w:rFonts w:ascii="Arial" w:hAnsi="Arial"/>
          <w:b w:val="0"/>
          <w:i w:val="0"/>
          <w:vertAlign w:val="subscript"/>
        </w:rPr>
        <w:t>id</w:t>
      </w:r>
      <w:r>
        <w:rPr>
          <w:rFonts w:ascii="Arial" w:hAnsi="Arial"/>
          <w:b w:val="0"/>
          <w:i w:val="0"/>
        </w:rPr>
        <w:t xml:space="preserve"> near 2 suggests trap-assisted recombination is important. </w:t>
      </w:r>
    </w:p>
    <w:p w14:paraId="41CEEDA7">
      <w:bookmarkStart w:id="0" w:name="_GoBack"/>
      <w:bookmarkEnd w:id="0"/>
      <w:r>
        <w:rPr>
          <w:rFonts w:ascii="Arial" w:hAnsi="Arial"/>
          <w:b w:val="0"/>
          <w:i w:val="0"/>
        </w:rPr>
        <w:t>n</w:t>
      </w:r>
      <w:r>
        <w:rPr>
          <w:rFonts w:ascii="Arial" w:hAnsi="Arial"/>
          <w:b w:val="0"/>
          <w:i w:val="0"/>
          <w:vertAlign w:val="subscript"/>
        </w:rPr>
        <w:t>id</w:t>
      </w:r>
      <w:r>
        <w:rPr>
          <w:rFonts w:ascii="Arial" w:hAnsi="Arial"/>
          <w:b w:val="0"/>
          <w:i w:val="0"/>
        </w:rPr>
        <w:t xml:space="preserve"> above 2 indicates stronger non-ideal effects, such as field-dependent recombination, interfacial recombination, ionic effects, or transport limitations.</w:t>
      </w:r>
    </w:p>
    <w:p w14:paraId="524EA184">
      <w:pPr>
        <w:pStyle w:val="4"/>
      </w:pPr>
      <w:r>
        <w:rPr>
          <w:rFonts w:ascii="Arial" w:hAnsi="Arial"/>
          <w:b w:val="0"/>
          <w:i w:val="0"/>
        </w:rPr>
        <w:t>Main Comparison Takeaway</w:t>
      </w:r>
    </w:p>
    <w:p w14:paraId="6FA04599">
      <w:r>
        <w:rPr>
          <w:rFonts w:ascii="Arial" w:hAnsi="Arial"/>
          <w:b w:val="0"/>
          <w:i w:val="0"/>
        </w:rPr>
        <w:t>IonMonger: the baseline V</w:t>
      </w:r>
      <w:r>
        <w:rPr>
          <w:rFonts w:ascii="Arial" w:hAnsi="Arial"/>
          <w:b w:val="0"/>
          <w:i w:val="0"/>
          <w:vertAlign w:val="subscript"/>
        </w:rPr>
        <w:t>oc</w:t>
      </w:r>
      <w:r>
        <w:rPr>
          <w:rFonts w:ascii="Arial" w:hAnsi="Arial"/>
          <w:b w:val="0"/>
          <w:i w:val="0"/>
        </w:rPr>
        <w:t xml:space="preserve"> is about +126 mV away from the published benchmark, while the literature-aligned model is only about +5 mV away.</w:t>
      </w:r>
    </w:p>
    <w:p w14:paraId="5BAE9DA1">
      <w:r>
        <w:rPr>
          <w:rFonts w:ascii="Arial" w:hAnsi="Arial"/>
          <w:b w:val="0"/>
          <w:i w:val="0"/>
        </w:rPr>
        <w:t>Changing the Beer-Lambert IonMonger V</w:t>
      </w:r>
      <w:r>
        <w:rPr>
          <w:rFonts w:ascii="Arial" w:hAnsi="Arial"/>
          <w:b w:val="0"/>
          <w:i w:val="0"/>
          <w:vertAlign w:val="subscript"/>
        </w:rPr>
        <w:t>bi</w:t>
      </w:r>
      <w:r>
        <w:rPr>
          <w:rFonts w:ascii="Arial" w:hAnsi="Arial"/>
          <w:b w:val="0"/>
          <w:i w:val="0"/>
        </w:rPr>
        <w:t xml:space="preserve"> from 1.10 V to 0.86 V shifts V</w:t>
      </w:r>
      <w:r>
        <w:rPr>
          <w:rFonts w:ascii="Arial" w:hAnsi="Arial"/>
          <w:b w:val="0"/>
          <w:i w:val="0"/>
          <w:vertAlign w:val="subscript"/>
        </w:rPr>
        <w:t>oc</w:t>
      </w:r>
      <w:r>
        <w:rPr>
          <w:rFonts w:ascii="Arial" w:hAnsi="Arial"/>
          <w:b w:val="0"/>
          <w:i w:val="0"/>
        </w:rPr>
        <w:t xml:space="preserve"> by about -238 mV, showing that V</w:t>
      </w:r>
      <w:r>
        <w:rPr>
          <w:rFonts w:ascii="Arial" w:hAnsi="Arial"/>
          <w:b w:val="0"/>
          <w:i w:val="0"/>
          <w:vertAlign w:val="subscript"/>
        </w:rPr>
        <w:t>bi</w:t>
      </w:r>
      <w:r>
        <w:rPr>
          <w:rFonts w:ascii="Arial" w:hAnsi="Arial"/>
          <w:b w:val="0"/>
          <w:i w:val="0"/>
        </w:rPr>
        <w:t xml:space="preserve"> convention strongly controls the voltage mismatch.</w:t>
      </w:r>
    </w:p>
    <w:p w14:paraId="118C9698">
      <w:r>
        <w:rPr>
          <w:rFonts w:ascii="Arial" w:hAnsi="Arial"/>
          <w:b w:val="0"/>
          <w:i w:val="0"/>
        </w:rPr>
        <w:t>Driftfusion: the baseline V</w:t>
      </w:r>
      <w:r>
        <w:rPr>
          <w:rFonts w:ascii="Arial" w:hAnsi="Arial"/>
          <w:b w:val="0"/>
          <w:i w:val="0"/>
          <w:vertAlign w:val="subscript"/>
        </w:rPr>
        <w:t>oc</w:t>
      </w:r>
      <w:r>
        <w:rPr>
          <w:rFonts w:ascii="Arial" w:hAnsi="Arial"/>
          <w:b w:val="0"/>
          <w:i w:val="0"/>
        </w:rPr>
        <w:t xml:space="preserve"> is about -386 mV below the Calado midpoint, while the literature-aligned model is about -21 mV from the midpoint.</w:t>
      </w:r>
    </w:p>
    <w:p w14:paraId="5BC86903">
      <w:r>
        <w:rPr>
          <w:rFonts w:ascii="Arial" w:hAnsi="Arial"/>
          <w:b w:val="0"/>
          <w:i w:val="0"/>
        </w:rPr>
        <w:t>J</w:t>
      </w:r>
      <w:r>
        <w:rPr>
          <w:rFonts w:ascii="Arial" w:hAnsi="Arial"/>
          <w:b w:val="0"/>
          <w:i w:val="0"/>
          <w:vertAlign w:val="subscript"/>
        </w:rPr>
        <w:t>sc</w:t>
      </w:r>
      <w:r>
        <w:rPr>
          <w:rFonts w:ascii="Arial" w:hAnsi="Arial"/>
          <w:b w:val="0"/>
          <w:i w:val="0"/>
        </w:rPr>
        <w:t xml:space="preserve"> stays close to the Beer-Lambert paper scale in both comparisons, so the dominant discrepancy is the V</w:t>
      </w:r>
      <w:r>
        <w:rPr>
          <w:rFonts w:ascii="Arial" w:hAnsi="Arial"/>
          <w:b w:val="0"/>
          <w:i w:val="0"/>
          <w:vertAlign w:val="subscript"/>
        </w:rPr>
        <w:t>oc</w:t>
      </w:r>
      <w:r>
        <w:rPr>
          <w:rFonts w:ascii="Arial" w:hAnsi="Arial"/>
          <w:b w:val="0"/>
          <w:i w:val="0"/>
        </w:rPr>
        <w:t xml:space="preserve"> convention rather than optical current generation.</w:t>
      </w:r>
    </w:p>
    <w:sectPr>
      <w:pgSz w:w="15840" w:h="12240" w:orient="landscape"/>
      <w:pgMar w:top="648" w:right="792" w:bottom="648" w:left="792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6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Cambria">
    <w:altName w:val="苹方-简"/>
    <w:panose1 w:val="02040503050406030204"/>
    <w:charset w:val="00"/>
    <w:family w:val="auto"/>
    <w:pitch w:val="default"/>
    <w:sig w:usb0="00000000" w:usb1="00000000" w:usb2="00000000" w:usb3="00000000" w:csb0="0000019F" w:csb1="00000000"/>
  </w:font>
  <w:font w:name="ＭＳ 明朝">
    <w:altName w:val="Hiragino Sans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Hiragino San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00"/>
    <w:family w:val="auto"/>
    <w:pitch w:val="default"/>
    <w:sig w:usb0="E0000AFF" w:usb1="00007843" w:usb2="00000001" w:usb3="00000000" w:csb0="400001BF" w:csb1="DFF70000"/>
  </w:font>
  <w:font w:name="ＭＳ ゴシック">
    <w:altName w:val="Hiragino Sans"/>
    <w:panose1 w:val="00000000000000000000"/>
    <w:charset w:val="80"/>
    <w:family w:val="modern"/>
    <w:pitch w:val="default"/>
    <w:sig w:usb0="00000000" w:usb1="00000000" w:usb2="00000010" w:usb3="00000000" w:csb0="00020000" w:csb1="00000000"/>
  </w:font>
  <w:font w:name="Courier">
    <w:altName w:val="苹方-简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Hiragino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iragino Sans">
    <w:panose1 w:val="020B0300000000000000"/>
    <w:charset w:val="80"/>
    <w:family w:val="auto"/>
    <w:pitch w:val="default"/>
    <w:sig w:usb0="E00002FF" w:usb1="7AE7FFFF" w:usb2="00000012" w:usb3="00000000" w:csb0="0002000D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ＭＳ ゴシック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5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B4A8FC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Arial" w:hAnsi="Arial" w:eastAsiaTheme="minorEastAsia" w:cstheme="minorBidi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36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Office_12.1.25869.25869_F1E327BC-269C-435d-A152-05C5408002CA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2013-12-24T07:15:00Z</dcterms:created>
  <dc:creator>python-docx</dc:creator>
  <dc:description>generated by python-docx</dc:description>
  <cp:lastModifiedBy>陈宣言</cp:lastModifiedBy>
  <dcterms:modified xsi:type="dcterms:W3CDTF">2026-05-15T15:05:12Z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2052-12.1.25869.25869</vt:lpwstr>
  </property>
  <property fmtid="{D5CDD505-2E9C-101B-9397-08002B2CF9AE}" pid="3" name="ICV">
    <vt:lpwstr>10CC3509FE52746DA8C5066AE2295BAF_42</vt:lpwstr>
  </property>
</Properties>
</file>