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2026-06-22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Nd_ETL ~2× over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Nd_ETL 0.84×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all directions matched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delta EC). Filled purple diamonds are the genuine SS interface-states solve over the flat-band region (delta EC &gt;= -0.16 eV); hollow diamonds are the certified transient fallback over the deep-CBO arm (delta EC &lt;= -0.2 eV), where the collapsed junction is unreachable by the SS Newton. The SS curve sits on the transient throughout — CBO is a band-offset effect, so SS approx the transient (not interface-limited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(delta E</w:t>
      </w:r>
      <w:r>
        <w:rPr>
          <w:vertAlign w:val="subscript"/>
        </w:rPr>
        <w:t xml:space="preserve">C</w:t>
      </w:r>
      <w:r>
        <w:t xml:space="preserve">). Filled purple diamonds are the genuine SS interface-states solve over the flat-band region (delta E</w:t>
      </w:r>
      <w:r>
        <w:rPr>
          <w:vertAlign w:val="subscript"/>
        </w:rPr>
        <w:t xml:space="preserve">C</w:t>
      </w:r>
      <w:r>
        <w:t xml:space="preserve"> </w:t>
      </w:r>
      <w:r>
        <w:t xml:space="preserve">&gt;= -0.16 eV); hollow diamonds are the certified transient fallback over the deep-CBO arm (delta E</w:t>
      </w:r>
      <w:r>
        <w:rPr>
          <w:vertAlign w:val="subscript"/>
        </w:rPr>
        <w:t xml:space="preserve">C</w:t>
      </w:r>
      <w:r>
        <w:t xml:space="preserve"> </w:t>
      </w:r>
      <w:r>
        <w:t xml:space="preserve">&lt;= -0.2 eV), where the collapsed junction is unreachable by the SS Newton. The SS curve sits on the transient throughout — CBO is a band-offset effect, so SS approx the transient (not interface-limited).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The transient curves are U-shaped (direction mismatch); the SS interface-states Voc rises with doping, matching the SCAPS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The transient curves are U-shaped (direction mismatch);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doping, matching the SCAPS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range (mV)</w:t>
            </w:r>
          </w:p>
        </w:tc>
        <w:tc>
          <w:p>
            <w:pPr>
              <w:pStyle w:val="Compact"/>
              <w:jc w:val="left"/>
            </w:pPr>
            <w:r>
              <w:t xml:space="preserve">f = 0.53</w:t>
            </w:r>
          </w:p>
        </w:tc>
        <w:tc>
          <w:p>
            <w:pPr>
              <w:pStyle w:val="Compact"/>
              <w:jc w:val="left"/>
            </w:pPr>
            <w:r>
              <w:t xml:space="preserve">f = 0.66</w:t>
            </w:r>
          </w:p>
        </w:tc>
        <w:tc>
          <w:p>
            <w:pPr>
              <w:pStyle w:val="Compact"/>
              <w:jc w:val="left"/>
            </w:pPr>
            <w:r>
              <w:t xml:space="preserve">SS 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 SS + 6 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Calibration:</w:t>
      </w:r>
      <w:r>
        <w:t xml:space="preserve"> </w:t>
      </w:r>
      <w:r>
        <w:t xml:space="preserve">the interface-plane channel was over-strong (base -61 mV, Nd_ETL ~2x over,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mV, Nd_ETL to 0.84x,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 while holding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at 63 %, all directions matched.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: the transient de-spike curves (f=0.53 blue, f=0.66</w:t>
      </w:r>
      <w:r>
        <w:t xml:space="preserve"> </w:t>
      </w:r>
      <w:r>
        <w:t xml:space="preserve">green) are U-shaped — direction mismatch — while the steady-state</w:t>
      </w:r>
      <w:r>
        <w:t xml:space="preserve"> </w:t>
      </w:r>
      <w:r>
        <w:t xml:space="preserve">interface-states driver (purple) rises monotonically with doping, matching the</w:t>
      </w:r>
      <w:r>
        <w:t xml:space="preserve"> </w:t>
      </w:r>
      <w:r>
        <w:t xml:space="preserve">SCAPS direction. Magnitude over-responds and the absolute sits below SCAPS (the</w:t>
      </w:r>
      <w:r>
        <w:t xml:space="preserve"> </w:t>
      </w:r>
      <w:r>
        <w:t xml:space="preserve">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2026-06-22T09:40:23Z</dcterms:created>
  <dcterms:modified xsi:type="dcterms:W3CDTF">2026-06-22T09:40:23Z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</vt:lpwstr>
  </property>
  <property fmtid="{D5CDD505-2E9C-101B-9397-08002B2CF9AE}" pid="3" name="header-includes">
    <vt:lpwstr/>
  </property>
</Properties>
</file>