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ED15F1">
      <w:pPr>
        <w:jc w:val="center"/>
      </w:pPr>
      <w:r>
        <w:rPr>
          <w:b/>
          <w:color w:val="19376D"/>
          <w:sz w:val="48"/>
        </w:rPr>
        <w:t>Mathematical Principles and Boundary Conditions</w:t>
      </w:r>
    </w:p>
    <w:p w14:paraId="07F99940"/>
    <w:p w14:paraId="194088A7">
      <w:pPr>
        <w:jc w:val="center"/>
      </w:pPr>
      <w:r>
        <w:rPr>
          <w:color w:val="19376D"/>
          <w:sz w:val="28"/>
        </w:rPr>
        <w:t>Perovskite Solar Cell Drift-Diffusion Simulator</w:t>
      </w:r>
    </w:p>
    <w:p w14:paraId="7F730AE4">
      <w:pPr>
        <w:jc w:val="center"/>
      </w:pPr>
      <w:r>
        <w:rPr>
          <w:color w:val="19376D"/>
          <w:sz w:val="28"/>
        </w:rPr>
        <w:t>(perovskite-sim)</w:t>
      </w:r>
    </w:p>
    <w:p w14:paraId="609A386A"/>
    <w:p w14:paraId="3C08D645"/>
    <w:p w14:paraId="55933E7F">
      <w:pPr>
        <w:jc w:val="center"/>
      </w:pPr>
      <w:r>
        <w:rPr>
          <w:sz w:val="24"/>
        </w:rPr>
        <w:t>March 2026</w:t>
      </w:r>
    </w:p>
    <w:p w14:paraId="5BF4446F">
      <w:r>
        <w:br w:type="page"/>
      </w:r>
    </w:p>
    <w:p w14:paraId="65F7AB33">
      <w:pPr>
        <w:pStyle w:val="3"/>
      </w:pPr>
      <w:r>
        <w:t>1. Introduction</w:t>
      </w:r>
    </w:p>
    <w:p w14:paraId="79BEF77D">
      <w:r>
        <w:t>perovskite-sim is a one-dimensional drift-diffusion solver with ion migration for modeling perovskite halide (MAPbI₃) solar cells. The simulator captures J-V hysteresis, impedance spectroscopy, and long-term degradation under applied bias through a fully coupled system of partial differential equations. The code operates on a non-uniform spatial grid and solves:</w:t>
      </w:r>
      <w:r>
        <w:br w:type="textWrapping"/>
      </w:r>
      <w:r>
        <w:br w:type="textWrapping"/>
      </w:r>
      <w:r>
        <w:t>• Poisson's equation for electrostatic potential</w:t>
      </w:r>
      <w:r>
        <w:br w:type="textWrapping"/>
      </w:r>
      <w:r>
        <w:t xml:space="preserve">• Electron and hole continuity equations via </w:t>
      </w:r>
      <w:r>
        <w:rPr>
          <w:rFonts w:hint="default" w:ascii="Arial Bold" w:hAnsi="Arial Bold" w:cs="Arial Bold"/>
          <w:b/>
          <w:bCs/>
          <w:color w:val="C00000"/>
        </w:rPr>
        <w:t>Scharfetter-Gummel discretization</w:t>
      </w:r>
      <w:r>
        <w:rPr>
          <w:rFonts w:hint="default" w:ascii="Arial Bold" w:hAnsi="Arial Bold" w:cs="Arial Bold"/>
          <w:b/>
          <w:bCs/>
          <w:color w:val="C00000"/>
        </w:rPr>
        <w:br w:type="textWrapping"/>
      </w:r>
      <w:r>
        <w:t>• Ion vacancy continuity equation with steric (excluded-volume) correction</w:t>
      </w:r>
      <w:r>
        <w:br w:type="textWrapping"/>
      </w:r>
      <w:r>
        <w:br w:type="textWrapping"/>
      </w:r>
      <w:r>
        <w:t>This technical reference document details the mathematical formulation, discretization schemes, boundary conditions, and material parameters used in the simulator.</w:t>
      </w:r>
    </w:p>
    <w:p w14:paraId="4F26FFD8">
      <w:r>
        <w:br w:type="page"/>
      </w:r>
    </w:p>
    <w:p w14:paraId="3DA03AD1">
      <w:pPr>
        <w:pStyle w:val="3"/>
      </w:pPr>
      <w:r>
        <w:t>2. Governing Equations</w:t>
      </w:r>
    </w:p>
    <w:p w14:paraId="609BD523">
      <w:pPr>
        <w:pStyle w:val="4"/>
      </w:pPr>
      <w:r>
        <w:t>2.1 Poisson Equation (Electrostatics)</w:t>
      </w:r>
    </w:p>
    <w:p w14:paraId="44831C4C">
      <w:r>
        <w:rPr>
          <w:b/>
          <w:sz w:val="22"/>
        </w:rPr>
        <w:t>d/dx(ε₀εᵣ dφ/dx) = -ρ</w:t>
      </w:r>
    </w:p>
    <w:p w14:paraId="17BD7E59">
      <w:r>
        <w:t>where ρ = q(p − n + P − Nₐ + Nᴅ)</w:t>
      </w:r>
    </w:p>
    <w:p w14:paraId="14324B04">
      <w:pPr>
        <w:pStyle w:val="16"/>
      </w:pPr>
      <w:r>
        <w:t>φ: electrostatic potential [V]</w:t>
      </w:r>
    </w:p>
    <w:p w14:paraId="63C1CB07">
      <w:pPr>
        <w:pStyle w:val="16"/>
      </w:pPr>
      <w:r>
        <w:t>ρ: charge density [C/m³]</w:t>
      </w:r>
    </w:p>
    <w:p w14:paraId="22D38C65">
      <w:pPr>
        <w:pStyle w:val="16"/>
      </w:pPr>
      <w:r>
        <w:t>P: ion vacancy density [m⁻³]</w:t>
      </w:r>
    </w:p>
    <w:p w14:paraId="3AC04922">
      <w:pPr>
        <w:pStyle w:val="16"/>
      </w:pPr>
      <w:r>
        <w:t>Nₐ, Nᴅ: acceptor/donor doping densities</w:t>
      </w:r>
    </w:p>
    <w:p w14:paraId="06A22439">
      <w:pPr>
        <w:pStyle w:val="4"/>
      </w:pPr>
      <w:r>
        <w:t>2.2 Electron Continuity Equation</w:t>
      </w:r>
    </w:p>
    <w:p w14:paraId="38F3A6D2">
      <w:r>
        <w:rPr>
          <w:b/>
          <w:sz w:val="22"/>
        </w:rPr>
        <w:t>∂n/∂t = (1/q) ∂Jₙ/∂x + G − R</w:t>
      </w:r>
    </w:p>
    <w:p w14:paraId="0CA2E05D">
      <w:r>
        <w:t>Jₙ = qDₙ(∂n/∂x) + qμₙn(∂φ/∂x)</w:t>
      </w:r>
    </w:p>
    <w:p w14:paraId="1A77CEA9">
      <w:r>
        <w:t>Using Scharfetter-Gummel discretization:</w:t>
      </w:r>
    </w:p>
    <w:p w14:paraId="2D7C514B">
      <w:r>
        <w:rPr>
          <w:b/>
          <w:sz w:val="22"/>
        </w:rPr>
        <w:t>Jₙ = qDₙ/h [B(ξ)nᵢ₊₁ − B(−ξ)nᵢ]</w:t>
      </w:r>
    </w:p>
    <w:p w14:paraId="2B16C194">
      <w:r>
        <w:t>where ξ = (φᵢ₊₁ − φᵢ)/Vₜ and B(x) = x/(eˣ − 1) is the Bernoulli function.</w:t>
      </w:r>
    </w:p>
    <w:p w14:paraId="04804A4D">
      <w:pPr>
        <w:pStyle w:val="4"/>
      </w:pPr>
      <w:r>
        <w:t>2.3 Hole Continuity Equation</w:t>
      </w:r>
    </w:p>
    <w:p w14:paraId="196D2FDA">
      <w:r>
        <w:rPr>
          <w:b/>
          <w:sz w:val="22"/>
        </w:rPr>
        <w:t>∂p/∂t = −(1/q) ∂Jₚ/∂x + G − R</w:t>
      </w:r>
    </w:p>
    <w:p w14:paraId="77195086">
      <w:r>
        <w:rPr>
          <w:b/>
          <w:sz w:val="22"/>
        </w:rPr>
        <w:t>Jₚ = qDₚ/h [B(ξ)pᵢ − B(−ξ)pᵢ₊₁]</w:t>
      </w:r>
    </w:p>
    <w:p w14:paraId="4FEFE337">
      <w:pPr>
        <w:pStyle w:val="4"/>
      </w:pPr>
      <w:r>
        <w:t>2.4 Ion Migration (Steric Blakemore Model)</w:t>
      </w:r>
    </w:p>
    <w:p w14:paraId="34FDAF25">
      <w:r>
        <w:rPr>
          <w:b/>
          <w:sz w:val="22"/>
        </w:rPr>
        <w:t>∂P/∂t + ∂Fₚ/∂x = 0</w:t>
      </w:r>
    </w:p>
    <w:p w14:paraId="251F4DD0">
      <w:r>
        <w:rPr>
          <w:b/>
          <w:sz w:val="22"/>
        </w:rPr>
        <w:t>Fₚ = −Dᵢ (∂P/∂x)/(1 − P_avg/P_lim) + (Dᵢ/Vₜ) P_avg ∂φ/∂x</w:t>
      </w:r>
    </w:p>
    <w:p w14:paraId="573CF96D">
      <w:r>
        <w:t>The steric term 1/(1 − P/P_lim) enforces excluded-volume saturation, preventing unphysical ion densities exceeding the limiting ion concentration.</w:t>
      </w:r>
    </w:p>
    <w:p w14:paraId="4CFBC417">
      <w:r>
        <w:br w:type="page"/>
      </w:r>
    </w:p>
    <w:p w14:paraId="5FEE4B0E">
      <w:pPr>
        <w:pStyle w:val="3"/>
      </w:pPr>
      <w:r>
        <w:t>3. Recombination Mechanisms</w:t>
      </w:r>
    </w:p>
    <w:p w14:paraId="44E80A11">
      <w:pPr>
        <w:pStyle w:val="4"/>
      </w:pPr>
      <w:r>
        <w:t>3.1 Shockley-Read-Hall (SRH)</w:t>
      </w:r>
    </w:p>
    <w:p w14:paraId="0ED39F48">
      <w:r>
        <w:rPr>
          <w:b/>
          <w:sz w:val="22"/>
        </w:rPr>
        <w:t>R_SRH = (np − nᵢ²) / [τₚ(n + n₁) + τₙ(p + p₁)]</w:t>
      </w:r>
    </w:p>
    <w:p w14:paraId="5DE7FAAC">
      <w:r>
        <w:t>where n₁ = Nᴄ exp(Eₜ/kT), p₁ = Nᵥ exp(−Eₜ/kT)</w:t>
      </w:r>
    </w:p>
    <w:p w14:paraId="60B678CC">
      <w:pPr>
        <w:pStyle w:val="4"/>
      </w:pPr>
      <w:r>
        <w:t>3.2 Radiative (Bimolecular)</w:t>
      </w:r>
    </w:p>
    <w:p w14:paraId="6A2286D5">
      <w:r>
        <w:rPr>
          <w:b/>
          <w:sz w:val="22"/>
        </w:rPr>
        <w:t>R_rad = B_rad (np − nᵢ²)</w:t>
      </w:r>
    </w:p>
    <w:p w14:paraId="7DDA8DCC">
      <w:pPr>
        <w:pStyle w:val="4"/>
      </w:pPr>
      <w:r>
        <w:t>3.3 Auger</w:t>
      </w:r>
    </w:p>
    <w:p w14:paraId="2A451C3A">
      <w:r>
        <w:rPr>
          <w:b/>
          <w:sz w:val="22"/>
        </w:rPr>
        <w:t>R_Auger = (Cₙn + Cₚp)(np − nᵢ²)</w:t>
      </w:r>
    </w:p>
    <w:p w14:paraId="529CFB97">
      <w:r>
        <w:t>Total recombination rate: R = R_SRH + R_rad + R_Auger</w:t>
      </w:r>
    </w:p>
    <w:p w14:paraId="7BA84D1F">
      <w:pPr>
        <w:pStyle w:val="3"/>
      </w:pPr>
      <w:r>
        <w:t>4. Optical Generation</w:t>
      </w:r>
    </w:p>
    <w:p w14:paraId="030F508A">
      <w:r>
        <w:t>Generation is computed using the Beer-Lambert law on each absorbing layer:</w:t>
      </w:r>
    </w:p>
    <w:p w14:paraId="6F12D755">
      <w:r>
        <w:rPr>
          <w:b/>
          <w:sz w:val="22"/>
        </w:rPr>
        <w:t>G(x) = Φ α(x) exp(−∫₀ˣ α(x′) dx′)</w:t>
      </w:r>
    </w:p>
    <w:p w14:paraId="6917ECC8">
      <w:pPr>
        <w:pStyle w:val="16"/>
      </w:pPr>
      <w:r>
        <w:t>Φ: AM1.5G photon flux (~2.5×10²¹ m⁻² s⁻¹)</w:t>
      </w:r>
    </w:p>
    <w:p w14:paraId="24450CDE">
      <w:pPr>
        <w:pStyle w:val="16"/>
      </w:pPr>
      <w:r>
        <w:t>α: absorption coefficient [m⁻¹]</w:t>
      </w:r>
    </w:p>
    <w:p w14:paraId="7645AA42">
      <w:pPr>
        <w:pStyle w:val="16"/>
      </w:pPr>
      <w:r>
        <w:t>Cumulative optical depth computed via trapezoidal integration</w:t>
      </w:r>
    </w:p>
    <w:p w14:paraId="745FE172">
      <w:r>
        <w:br w:type="page"/>
      </w:r>
    </w:p>
    <w:p w14:paraId="370B64FF">
      <w:pPr>
        <w:pStyle w:val="3"/>
      </w:pPr>
      <w:r>
        <w:t>5. Boundary Conditions</w:t>
      </w:r>
    </w:p>
    <w:p w14:paraId="466CAD91">
      <w:pPr>
        <w:pStyle w:val="4"/>
      </w:pPr>
      <w:r>
        <w:t>5.1 Electrical (Dirichlet for Poisson)</w:t>
      </w:r>
    </w:p>
    <w:p w14:paraId="73C949D4">
      <w:pPr>
        <w:pStyle w:val="16"/>
      </w:pPr>
      <w:r>
        <w:t>φ(0) = 0 (left contact)</w:t>
      </w:r>
    </w:p>
    <w:p w14:paraId="22407E92">
      <w:pPr>
        <w:pStyle w:val="16"/>
      </w:pPr>
      <w:r>
        <w:t>φ(L) = V_bi − V_app (right contact)</w:t>
      </w:r>
    </w:p>
    <w:p w14:paraId="2D4AE11D">
      <w:r>
        <w:t>Forward bias (V_app &gt; 0) reduces the built-in electric field, enabling carrier collection across the absorber.</w:t>
      </w:r>
    </w:p>
    <w:p w14:paraId="54B83B9E">
      <w:pPr>
        <w:pStyle w:val="4"/>
      </w:pPr>
      <w:r>
        <w:t>5.2 Ohmic Contacts (Carrier Densities)</w:t>
      </w:r>
    </w:p>
    <w:p w14:paraId="73DE233D">
      <w:r>
        <w:rPr>
          <w:b/>
          <w:sz w:val="22"/>
        </w:rPr>
        <w:t>n_contact = (Nᴅ − Nₐ)/2 + √[(Nᴅ − Nₐ)²/4 + nᵢ²]</w:t>
      </w:r>
    </w:p>
    <w:p w14:paraId="7919C5EC">
      <w:r>
        <w:rPr>
          <w:b/>
          <w:sz w:val="22"/>
        </w:rPr>
        <w:t>p_contact = nᵢ²/n_contact</w:t>
      </w:r>
    </w:p>
    <w:p w14:paraId="167D16D2">
      <w:r>
        <w:t>Two-branch formula avoids numerical overflow: n-type branch for Nᴅ ≥ Nₐ, p-type branch otherwise.</w:t>
      </w:r>
    </w:p>
    <w:p w14:paraId="5B573A7E">
      <w:pPr>
        <w:pStyle w:val="4"/>
      </w:pPr>
      <w:r>
        <w:t>5.3 Ion Zero-Flux</w:t>
      </w:r>
    </w:p>
    <w:p w14:paraId="38048C8D">
      <w:r>
        <w:t>∂P/∂x = 0 at both contacts (ions confined to bulk)</w:t>
      </w:r>
    </w:p>
    <w:p w14:paraId="422A9E00">
      <w:r>
        <w:t>Implemented via zero-flux padding: F[0] = F[N] = 0</w:t>
      </w:r>
    </w:p>
    <w:p w14:paraId="519FF087">
      <w:r>
        <w:br w:type="page"/>
      </w:r>
    </w:p>
    <w:p w14:paraId="4DDF3F90">
      <w:pPr>
        <w:pStyle w:val="3"/>
      </w:pPr>
      <w:r>
        <w:t>6. Spatial Discretization</w:t>
      </w:r>
    </w:p>
    <w:p w14:paraId="4B3859A1">
      <w:pPr>
        <w:pStyle w:val="4"/>
      </w:pPr>
      <w:r>
        <w:t>6.1 Tanh-Clustered Grid</w:t>
      </w:r>
    </w:p>
    <w:p w14:paraId="56D9AD27">
      <w:r>
        <w:rPr>
          <w:b/>
          <w:sz w:val="22"/>
        </w:rPr>
        <w:t>ξ = tanh(α ξ̃) / tanh(α),  ξ̃ ∈ [−1, 1]</w:t>
      </w:r>
    </w:p>
    <w:p w14:paraId="4CD5B201">
      <w:r>
        <w:rPr>
          <w:b/>
          <w:sz w:val="22"/>
        </w:rPr>
        <w:t>x(ξ) = L (1 + ξ) / 2</w:t>
      </w:r>
    </w:p>
    <w:p w14:paraId="2FFB803F">
      <w:r>
        <w:t>α = 3.0 concentrates grid points near domain boundaries (junctions), where electric field gradients are steepest.</w:t>
      </w:r>
    </w:p>
    <w:p w14:paraId="4FDA742A">
      <w:pPr>
        <w:pStyle w:val="4"/>
      </w:pPr>
      <w:r>
        <w:t>6.2 Finite-Volume Operators</w:t>
      </w:r>
    </w:p>
    <w:p w14:paraId="1269F0A8">
      <w:pPr>
        <w:pStyle w:val="16"/>
      </w:pPr>
      <w:r>
        <w:t>Dual-grid cell widths: h_cell_i = 0.5(hᵢ₋₁ + hᵢ) for internal nodes</w:t>
      </w:r>
    </w:p>
    <w:p w14:paraId="2022AC31">
      <w:pPr>
        <w:pStyle w:val="16"/>
      </w:pPr>
      <w:r>
        <w:t>Harmonic-mean face permittivity: εₓ = 2εₐεᵦ/(εₐ + εᵦ)</w:t>
      </w:r>
    </w:p>
    <w:p w14:paraId="687F6BF5">
      <w:pPr>
        <w:pStyle w:val="16"/>
      </w:pPr>
      <w:r>
        <w:t>Harmonic-mean diffusion coefficients: D_face = 2DₐDᵦ/(Dₐ + Dᵦ)</w:t>
      </w:r>
    </w:p>
    <w:p w14:paraId="3A4D656B">
      <w:r>
        <w:t>Both correspond to a series-resistance model for sharp material discontinuities.</w:t>
      </w:r>
    </w:p>
    <w:p w14:paraId="2E41E616">
      <w:pPr>
        <w:pStyle w:val="4"/>
      </w:pPr>
      <w:r>
        <w:t>6.3 Bernoulli Function (Numerical Stability)</w:t>
      </w:r>
    </w:p>
    <w:p w14:paraId="48929154">
      <w:r>
        <w:rPr>
          <w:b/>
          <w:sz w:val="22"/>
        </w:rPr>
        <w:t>B(x) = x / (eˣ − 1)</w:t>
      </w:r>
    </w:p>
    <w:p w14:paraId="4A8901AE">
      <w:pPr>
        <w:pStyle w:val="16"/>
      </w:pPr>
      <w:r>
        <w:t>For |x| &lt; 10⁻⁸: B(x) ≈ 1 − x/2 + x²/12 (Taylor series)</w:t>
      </w:r>
    </w:p>
    <w:p w14:paraId="1B306B09">
      <w:pPr>
        <w:pStyle w:val="16"/>
      </w:pPr>
      <w:r>
        <w:t>For |x| ≥ 10⁻⁸: B(x) = x / expm1(x) (numerically stable)</w:t>
      </w:r>
    </w:p>
    <w:p w14:paraId="05BF3512">
      <w:r>
        <w:br w:type="page"/>
      </w:r>
    </w:p>
    <w:p w14:paraId="3E8E31CC">
      <w:pPr>
        <w:pStyle w:val="3"/>
      </w:pPr>
      <w:r>
        <w:t>7. Time Integration</w:t>
      </w:r>
    </w:p>
    <w:p w14:paraId="69F034CA">
      <w:pPr>
        <w:pStyle w:val="4"/>
      </w:pPr>
      <w:r>
        <w:t>7.1 Method of Lines (MOL)</w:t>
      </w:r>
    </w:p>
    <w:p w14:paraId="783567BD">
      <w:r>
        <w:t>State vector y = [n, p, P] (3N components) solved by Radau IIA (5th order implicit Runge-Kutta).</w:t>
      </w:r>
    </w:p>
    <w:p w14:paraId="77B98372">
      <w:pPr>
        <w:pStyle w:val="16"/>
      </w:pPr>
      <w:r>
        <w:t>Radau IIA advantages:</w:t>
      </w:r>
    </w:p>
    <w:p w14:paraId="0D5F9D44">
      <w:pPr>
        <w:pStyle w:val="23"/>
      </w:pPr>
      <w:r>
        <w:t>Handles stiffness from exponential Boltzmann factors</w:t>
      </w:r>
    </w:p>
    <w:p w14:paraId="3BF3CA59">
      <w:pPr>
        <w:pStyle w:val="23"/>
      </w:pPr>
      <w:r>
        <w:t>5th-order accuracy</w:t>
      </w:r>
    </w:p>
    <w:p w14:paraId="7C977911">
      <w:pPr>
        <w:pStyle w:val="23"/>
      </w:pPr>
      <w:r>
        <w:t>Default tolerances: rtol = 10⁻⁴, atol = 10⁻⁶</w:t>
      </w:r>
    </w:p>
    <w:p w14:paraId="5488B873">
      <w:pPr>
        <w:pStyle w:val="4"/>
      </w:pPr>
      <w:r>
        <w:t>7.2 Operator Splitting (Fallback)</w:t>
      </w:r>
    </w:p>
    <w:p w14:paraId="4D922FE5">
      <w:r>
        <w:t>When Radau stalls (e.g., ion pile-up at interfaces):</w:t>
      </w:r>
    </w:p>
    <w:p w14:paraId="2CBC5E83">
      <w:pPr>
        <w:pStyle w:val="14"/>
      </w:pPr>
      <w:r>
        <w:t>Ion advance: freeze n, p; advance P alone</w:t>
      </w:r>
    </w:p>
    <w:p w14:paraId="6DD8C960">
      <w:pPr>
        <w:pStyle w:val="14"/>
      </w:pPr>
      <w:r>
        <w:t>Carrier re-equilibration: run short transient (~1 μs) with new ion field</w:t>
      </w:r>
    </w:p>
    <w:p w14:paraId="76CF7D40">
      <w:r>
        <w:br w:type="page"/>
      </w:r>
    </w:p>
    <w:p w14:paraId="28936DA2">
      <w:pPr>
        <w:pStyle w:val="3"/>
      </w:pPr>
      <w:r>
        <w:t>8. Physical Constants</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20"/>
        <w:gridCol w:w="3120"/>
        <w:gridCol w:w="3120"/>
      </w:tblGrid>
      <w:tr w14:paraId="6079B5E8">
        <w:tc>
          <w:tcPr>
            <w:tcW w:w="3120" w:type="dxa"/>
            <w:shd w:val="clear" w:color="auto" w:fill="D3D3D3"/>
          </w:tcPr>
          <w:p w14:paraId="16D45565">
            <w:pPr>
              <w:spacing w:after="0" w:line="240" w:lineRule="auto"/>
            </w:pPr>
            <w:r>
              <w:rPr>
                <w:b/>
                <w:color w:val="19376D"/>
              </w:rPr>
              <w:t>Constant</w:t>
            </w:r>
          </w:p>
        </w:tc>
        <w:tc>
          <w:tcPr>
            <w:tcW w:w="3120" w:type="dxa"/>
            <w:shd w:val="clear" w:color="auto" w:fill="D3D3D3"/>
          </w:tcPr>
          <w:p w14:paraId="5B04115B">
            <w:pPr>
              <w:spacing w:after="0" w:line="240" w:lineRule="auto"/>
            </w:pPr>
            <w:r>
              <w:rPr>
                <w:b/>
                <w:color w:val="19376D"/>
              </w:rPr>
              <w:t>Symbol</w:t>
            </w:r>
          </w:p>
        </w:tc>
        <w:tc>
          <w:tcPr>
            <w:tcW w:w="3120" w:type="dxa"/>
            <w:shd w:val="clear" w:color="auto" w:fill="D3D3D3"/>
          </w:tcPr>
          <w:p w14:paraId="5F058D6F">
            <w:pPr>
              <w:spacing w:after="0" w:line="240" w:lineRule="auto"/>
            </w:pPr>
            <w:r>
              <w:rPr>
                <w:b/>
                <w:color w:val="19376D"/>
              </w:rPr>
              <w:t>Value (SI Units)</w:t>
            </w:r>
          </w:p>
        </w:tc>
      </w:tr>
      <w:tr w14:paraId="64141AC8">
        <w:tc>
          <w:tcPr>
            <w:tcW w:w="3120" w:type="dxa"/>
          </w:tcPr>
          <w:p w14:paraId="183EF01B">
            <w:pPr>
              <w:spacing w:after="0" w:line="240" w:lineRule="auto"/>
            </w:pPr>
            <w:r>
              <w:rPr>
                <w:sz w:val="20"/>
              </w:rPr>
              <w:t>Elementary charge</w:t>
            </w:r>
          </w:p>
        </w:tc>
        <w:tc>
          <w:tcPr>
            <w:tcW w:w="3120" w:type="dxa"/>
          </w:tcPr>
          <w:p w14:paraId="5F99A7AB">
            <w:pPr>
              <w:spacing w:after="0" w:line="240" w:lineRule="auto"/>
            </w:pPr>
            <w:r>
              <w:rPr>
                <w:sz w:val="20"/>
              </w:rPr>
              <w:t>q</w:t>
            </w:r>
          </w:p>
        </w:tc>
        <w:tc>
          <w:tcPr>
            <w:tcW w:w="3120" w:type="dxa"/>
          </w:tcPr>
          <w:p w14:paraId="2331691E">
            <w:pPr>
              <w:spacing w:after="0" w:line="240" w:lineRule="auto"/>
            </w:pPr>
            <w:r>
              <w:rPr>
                <w:sz w:val="20"/>
              </w:rPr>
              <w:t>1.602176634 × 10⁻¹⁹ C</w:t>
            </w:r>
          </w:p>
        </w:tc>
      </w:tr>
      <w:tr w14:paraId="7A5D6DCC">
        <w:tc>
          <w:tcPr>
            <w:tcW w:w="3120" w:type="dxa"/>
          </w:tcPr>
          <w:p w14:paraId="081145E6">
            <w:pPr>
              <w:spacing w:after="0" w:line="240" w:lineRule="auto"/>
            </w:pPr>
            <w:r>
              <w:rPr>
                <w:sz w:val="20"/>
              </w:rPr>
              <w:t>Boltzmann constant</w:t>
            </w:r>
          </w:p>
        </w:tc>
        <w:tc>
          <w:tcPr>
            <w:tcW w:w="3120" w:type="dxa"/>
          </w:tcPr>
          <w:p w14:paraId="0BB91A2E">
            <w:pPr>
              <w:spacing w:after="0" w:line="240" w:lineRule="auto"/>
            </w:pPr>
            <w:r>
              <w:rPr>
                <w:sz w:val="20"/>
              </w:rPr>
              <w:t>kᵦ</w:t>
            </w:r>
          </w:p>
        </w:tc>
        <w:tc>
          <w:tcPr>
            <w:tcW w:w="3120" w:type="dxa"/>
          </w:tcPr>
          <w:p w14:paraId="7E552912">
            <w:pPr>
              <w:spacing w:after="0" w:line="240" w:lineRule="auto"/>
            </w:pPr>
            <w:r>
              <w:rPr>
                <w:sz w:val="20"/>
              </w:rPr>
              <w:t>1.380649 × 10⁻²³ J/K</w:t>
            </w:r>
          </w:p>
        </w:tc>
      </w:tr>
      <w:tr w14:paraId="57D08CF9">
        <w:tc>
          <w:tcPr>
            <w:tcW w:w="3120" w:type="dxa"/>
          </w:tcPr>
          <w:p w14:paraId="509212FC">
            <w:pPr>
              <w:spacing w:after="0" w:line="240" w:lineRule="auto"/>
            </w:pPr>
            <w:r>
              <w:rPr>
                <w:sz w:val="20"/>
              </w:rPr>
              <w:t>Temperature</w:t>
            </w:r>
          </w:p>
        </w:tc>
        <w:tc>
          <w:tcPr>
            <w:tcW w:w="3120" w:type="dxa"/>
          </w:tcPr>
          <w:p w14:paraId="5957CC38">
            <w:pPr>
              <w:spacing w:after="0" w:line="240" w:lineRule="auto"/>
            </w:pPr>
            <w:r>
              <w:rPr>
                <w:sz w:val="20"/>
              </w:rPr>
              <w:t>T</w:t>
            </w:r>
          </w:p>
        </w:tc>
        <w:tc>
          <w:tcPr>
            <w:tcW w:w="3120" w:type="dxa"/>
          </w:tcPr>
          <w:p w14:paraId="420AAD37">
            <w:pPr>
              <w:spacing w:after="0" w:line="240" w:lineRule="auto"/>
            </w:pPr>
            <w:r>
              <w:rPr>
                <w:sz w:val="20"/>
              </w:rPr>
              <w:t>300 K</w:t>
            </w:r>
          </w:p>
        </w:tc>
      </w:tr>
      <w:tr w14:paraId="527DD21C">
        <w:tc>
          <w:tcPr>
            <w:tcW w:w="3120" w:type="dxa"/>
          </w:tcPr>
          <w:p w14:paraId="01FD7EAE">
            <w:pPr>
              <w:spacing w:after="0" w:line="240" w:lineRule="auto"/>
            </w:pPr>
            <w:r>
              <w:rPr>
                <w:sz w:val="20"/>
              </w:rPr>
              <w:t>Thermal voltage</w:t>
            </w:r>
          </w:p>
        </w:tc>
        <w:tc>
          <w:tcPr>
            <w:tcW w:w="3120" w:type="dxa"/>
          </w:tcPr>
          <w:p w14:paraId="62FBE0D1">
            <w:pPr>
              <w:spacing w:after="0" w:line="240" w:lineRule="auto"/>
            </w:pPr>
            <w:r>
              <w:rPr>
                <w:sz w:val="20"/>
              </w:rPr>
              <w:t>Vₜ = kᵦT/q</w:t>
            </w:r>
          </w:p>
        </w:tc>
        <w:tc>
          <w:tcPr>
            <w:tcW w:w="3120" w:type="dxa"/>
          </w:tcPr>
          <w:p w14:paraId="70C9FD3C">
            <w:pPr>
              <w:spacing w:after="0" w:line="240" w:lineRule="auto"/>
            </w:pPr>
            <w:r>
              <w:rPr>
                <w:sz w:val="20"/>
              </w:rPr>
              <w:t>≈ 0.025852 V</w:t>
            </w:r>
          </w:p>
        </w:tc>
      </w:tr>
      <w:tr w14:paraId="2D1573F3">
        <w:tc>
          <w:tcPr>
            <w:tcW w:w="3120" w:type="dxa"/>
          </w:tcPr>
          <w:p w14:paraId="76BB0EE0">
            <w:pPr>
              <w:spacing w:after="0" w:line="240" w:lineRule="auto"/>
            </w:pPr>
            <w:r>
              <w:rPr>
                <w:sz w:val="20"/>
              </w:rPr>
              <w:t>Vacuum permittivity</w:t>
            </w:r>
          </w:p>
        </w:tc>
        <w:tc>
          <w:tcPr>
            <w:tcW w:w="3120" w:type="dxa"/>
          </w:tcPr>
          <w:p w14:paraId="3C6E50F3">
            <w:pPr>
              <w:spacing w:after="0" w:line="240" w:lineRule="auto"/>
            </w:pPr>
            <w:r>
              <w:rPr>
                <w:sz w:val="20"/>
              </w:rPr>
              <w:t>ε₀</w:t>
            </w:r>
          </w:p>
        </w:tc>
        <w:tc>
          <w:tcPr>
            <w:tcW w:w="3120" w:type="dxa"/>
          </w:tcPr>
          <w:p w14:paraId="21C1E509">
            <w:pPr>
              <w:spacing w:after="0" w:line="240" w:lineRule="auto"/>
            </w:pPr>
            <w:r>
              <w:rPr>
                <w:sz w:val="20"/>
              </w:rPr>
              <w:t>8.854187817 × 10⁻¹² F/m</w:t>
            </w:r>
          </w:p>
        </w:tc>
      </w:tr>
    </w:tbl>
    <w:p w14:paraId="3F935083">
      <w:r>
        <w:br w:type="page"/>
      </w:r>
    </w:p>
    <w:p w14:paraId="5969DCBA">
      <w:pPr>
        <w:pStyle w:val="3"/>
      </w:pPr>
      <w:r>
        <w:t>9. Material Parameters (MAPbI₃)</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20"/>
        <w:gridCol w:w="3120"/>
        <w:gridCol w:w="3120"/>
      </w:tblGrid>
      <w:tr w14:paraId="2A19AE5E">
        <w:tc>
          <w:tcPr>
            <w:tcW w:w="3120" w:type="dxa"/>
            <w:shd w:val="clear" w:color="auto" w:fill="D3D3D3"/>
          </w:tcPr>
          <w:p w14:paraId="452C4DFD">
            <w:pPr>
              <w:spacing w:after="0" w:line="240" w:lineRule="auto"/>
            </w:pPr>
            <w:r>
              <w:rPr>
                <w:b/>
                <w:color w:val="19376D"/>
              </w:rPr>
              <w:t>Parameter</w:t>
            </w:r>
          </w:p>
        </w:tc>
        <w:tc>
          <w:tcPr>
            <w:tcW w:w="3120" w:type="dxa"/>
            <w:shd w:val="clear" w:color="auto" w:fill="D3D3D3"/>
          </w:tcPr>
          <w:p w14:paraId="7D6CBF7E">
            <w:pPr>
              <w:spacing w:after="0" w:line="240" w:lineRule="auto"/>
            </w:pPr>
            <w:r>
              <w:rPr>
                <w:b/>
                <w:color w:val="19376D"/>
              </w:rPr>
              <w:t>Symbol</w:t>
            </w:r>
          </w:p>
        </w:tc>
        <w:tc>
          <w:tcPr>
            <w:tcW w:w="3120" w:type="dxa"/>
            <w:shd w:val="clear" w:color="auto" w:fill="D3D3D3"/>
          </w:tcPr>
          <w:p w14:paraId="0350DEDA">
            <w:pPr>
              <w:spacing w:after="0" w:line="240" w:lineRule="auto"/>
            </w:pPr>
            <w:r>
              <w:rPr>
                <w:b/>
                <w:color w:val="19376D"/>
              </w:rPr>
              <w:t>Value</w:t>
            </w:r>
          </w:p>
        </w:tc>
      </w:tr>
      <w:tr w14:paraId="1DEC5827">
        <w:tc>
          <w:tcPr>
            <w:tcW w:w="3120" w:type="dxa"/>
          </w:tcPr>
          <w:p w14:paraId="51319CAB">
            <w:pPr>
              <w:spacing w:after="0" w:line="240" w:lineRule="auto"/>
            </w:pPr>
            <w:r>
              <w:rPr>
                <w:sz w:val="20"/>
              </w:rPr>
              <w:t>Relative permittivity</w:t>
            </w:r>
          </w:p>
        </w:tc>
        <w:tc>
          <w:tcPr>
            <w:tcW w:w="3120" w:type="dxa"/>
          </w:tcPr>
          <w:p w14:paraId="4D23F282">
            <w:pPr>
              <w:spacing w:after="0" w:line="240" w:lineRule="auto"/>
            </w:pPr>
            <w:r>
              <w:rPr>
                <w:sz w:val="20"/>
              </w:rPr>
              <w:t>εᵣ</w:t>
            </w:r>
          </w:p>
        </w:tc>
        <w:tc>
          <w:tcPr>
            <w:tcW w:w="3120" w:type="dxa"/>
          </w:tcPr>
          <w:p w14:paraId="5BC5B66A">
            <w:pPr>
              <w:spacing w:after="0" w:line="240" w:lineRule="auto"/>
            </w:pPr>
            <w:r>
              <w:rPr>
                <w:sz w:val="20"/>
              </w:rPr>
              <w:t>24.1</w:t>
            </w:r>
          </w:p>
        </w:tc>
      </w:tr>
      <w:tr w14:paraId="131244F4">
        <w:tc>
          <w:tcPr>
            <w:tcW w:w="3120" w:type="dxa"/>
          </w:tcPr>
          <w:p w14:paraId="07F2701F">
            <w:pPr>
              <w:spacing w:after="0" w:line="240" w:lineRule="auto"/>
            </w:pPr>
            <w:r>
              <w:rPr>
                <w:sz w:val="20"/>
              </w:rPr>
              <w:t>Electron mobility</w:t>
            </w:r>
          </w:p>
        </w:tc>
        <w:tc>
          <w:tcPr>
            <w:tcW w:w="3120" w:type="dxa"/>
          </w:tcPr>
          <w:p w14:paraId="59488525">
            <w:pPr>
              <w:spacing w:after="0" w:line="240" w:lineRule="auto"/>
            </w:pPr>
            <w:r>
              <w:rPr>
                <w:sz w:val="20"/>
              </w:rPr>
              <w:t>μₙ</w:t>
            </w:r>
          </w:p>
        </w:tc>
        <w:tc>
          <w:tcPr>
            <w:tcW w:w="3120" w:type="dxa"/>
          </w:tcPr>
          <w:p w14:paraId="0C4CF11B">
            <w:pPr>
              <w:spacing w:after="0" w:line="240" w:lineRule="auto"/>
            </w:pPr>
            <w:r>
              <w:rPr>
                <w:sz w:val="20"/>
              </w:rPr>
              <w:t>2 × 10⁻⁴ m²/V/s</w:t>
            </w:r>
          </w:p>
        </w:tc>
      </w:tr>
      <w:tr w14:paraId="4D1409E3">
        <w:tc>
          <w:tcPr>
            <w:tcW w:w="3120" w:type="dxa"/>
          </w:tcPr>
          <w:p w14:paraId="2C453673">
            <w:pPr>
              <w:spacing w:after="0" w:line="240" w:lineRule="auto"/>
            </w:pPr>
            <w:r>
              <w:rPr>
                <w:sz w:val="20"/>
              </w:rPr>
              <w:t>Hole mobility</w:t>
            </w:r>
          </w:p>
        </w:tc>
        <w:tc>
          <w:tcPr>
            <w:tcW w:w="3120" w:type="dxa"/>
          </w:tcPr>
          <w:p w14:paraId="76F51DEB">
            <w:pPr>
              <w:spacing w:after="0" w:line="240" w:lineRule="auto"/>
            </w:pPr>
            <w:r>
              <w:rPr>
                <w:sz w:val="20"/>
              </w:rPr>
              <w:t>μₚ</w:t>
            </w:r>
          </w:p>
        </w:tc>
        <w:tc>
          <w:tcPr>
            <w:tcW w:w="3120" w:type="dxa"/>
          </w:tcPr>
          <w:p w14:paraId="3003D048">
            <w:pPr>
              <w:spacing w:after="0" w:line="240" w:lineRule="auto"/>
            </w:pPr>
            <w:r>
              <w:rPr>
                <w:sz w:val="20"/>
              </w:rPr>
              <w:t>2 × 10⁻⁴ m²/V/s</w:t>
            </w:r>
          </w:p>
        </w:tc>
      </w:tr>
      <w:tr w14:paraId="2D37D3E1">
        <w:tc>
          <w:tcPr>
            <w:tcW w:w="3120" w:type="dxa"/>
          </w:tcPr>
          <w:p w14:paraId="0E5800AE">
            <w:pPr>
              <w:spacing w:after="0" w:line="240" w:lineRule="auto"/>
            </w:pPr>
            <w:r>
              <w:rPr>
                <w:sz w:val="20"/>
              </w:rPr>
              <w:t>Electron diffusivity</w:t>
            </w:r>
          </w:p>
        </w:tc>
        <w:tc>
          <w:tcPr>
            <w:tcW w:w="3120" w:type="dxa"/>
          </w:tcPr>
          <w:p w14:paraId="421067A2">
            <w:pPr>
              <w:spacing w:after="0" w:line="240" w:lineRule="auto"/>
            </w:pPr>
            <w:r>
              <w:rPr>
                <w:sz w:val="20"/>
              </w:rPr>
              <w:t>Dₙ</w:t>
            </w:r>
          </w:p>
        </w:tc>
        <w:tc>
          <w:tcPr>
            <w:tcW w:w="3120" w:type="dxa"/>
          </w:tcPr>
          <w:p w14:paraId="6FBDDFC0">
            <w:pPr>
              <w:spacing w:after="0" w:line="240" w:lineRule="auto"/>
            </w:pPr>
            <w:r>
              <w:rPr>
                <w:sz w:val="20"/>
              </w:rPr>
              <w:t>5.17 × 10⁻⁶ m²/s</w:t>
            </w:r>
          </w:p>
        </w:tc>
      </w:tr>
      <w:tr w14:paraId="767836DA">
        <w:tc>
          <w:tcPr>
            <w:tcW w:w="3120" w:type="dxa"/>
          </w:tcPr>
          <w:p w14:paraId="41006759">
            <w:pPr>
              <w:spacing w:after="0" w:line="240" w:lineRule="auto"/>
            </w:pPr>
            <w:r>
              <w:rPr>
                <w:sz w:val="20"/>
              </w:rPr>
              <w:t>Hole diffusivity</w:t>
            </w:r>
          </w:p>
        </w:tc>
        <w:tc>
          <w:tcPr>
            <w:tcW w:w="3120" w:type="dxa"/>
          </w:tcPr>
          <w:p w14:paraId="5FDC4561">
            <w:pPr>
              <w:spacing w:after="0" w:line="240" w:lineRule="auto"/>
            </w:pPr>
            <w:r>
              <w:rPr>
                <w:sz w:val="20"/>
              </w:rPr>
              <w:t>Dₚ</w:t>
            </w:r>
          </w:p>
        </w:tc>
        <w:tc>
          <w:tcPr>
            <w:tcW w:w="3120" w:type="dxa"/>
          </w:tcPr>
          <w:p w14:paraId="44F41A9C">
            <w:pPr>
              <w:spacing w:after="0" w:line="240" w:lineRule="auto"/>
            </w:pPr>
            <w:r>
              <w:rPr>
                <w:sz w:val="20"/>
              </w:rPr>
              <w:t>5.17 × 10⁻⁶ m²/s</w:t>
            </w:r>
          </w:p>
        </w:tc>
      </w:tr>
      <w:tr w14:paraId="74C41D67">
        <w:tc>
          <w:tcPr>
            <w:tcW w:w="3120" w:type="dxa"/>
          </w:tcPr>
          <w:p w14:paraId="03F75C1C">
            <w:pPr>
              <w:spacing w:after="0" w:line="240" w:lineRule="auto"/>
            </w:pPr>
            <w:r>
              <w:rPr>
                <w:sz w:val="20"/>
              </w:rPr>
              <w:t>Intrinsic carrier density</w:t>
            </w:r>
          </w:p>
        </w:tc>
        <w:tc>
          <w:tcPr>
            <w:tcW w:w="3120" w:type="dxa"/>
          </w:tcPr>
          <w:p w14:paraId="249B7E73">
            <w:pPr>
              <w:spacing w:after="0" w:line="240" w:lineRule="auto"/>
            </w:pPr>
            <w:r>
              <w:rPr>
                <w:sz w:val="20"/>
              </w:rPr>
              <w:t>nᵢ</w:t>
            </w:r>
          </w:p>
        </w:tc>
        <w:tc>
          <w:tcPr>
            <w:tcW w:w="3120" w:type="dxa"/>
          </w:tcPr>
          <w:p w14:paraId="335A0CEA">
            <w:pPr>
              <w:spacing w:after="0" w:line="240" w:lineRule="auto"/>
            </w:pPr>
            <w:r>
              <w:rPr>
                <w:sz w:val="20"/>
              </w:rPr>
              <w:t>3.2 × 10¹³ m⁻³</w:t>
            </w:r>
          </w:p>
        </w:tc>
      </w:tr>
      <w:tr w14:paraId="0D014C29">
        <w:tc>
          <w:tcPr>
            <w:tcW w:w="3120" w:type="dxa"/>
          </w:tcPr>
          <w:p w14:paraId="00AB2325">
            <w:pPr>
              <w:spacing w:after="0" w:line="240" w:lineRule="auto"/>
            </w:pPr>
            <w:r>
              <w:rPr>
                <w:sz w:val="20"/>
              </w:rPr>
              <w:t>Electron lifetime</w:t>
            </w:r>
          </w:p>
        </w:tc>
        <w:tc>
          <w:tcPr>
            <w:tcW w:w="3120" w:type="dxa"/>
          </w:tcPr>
          <w:p w14:paraId="4D8F7860">
            <w:pPr>
              <w:spacing w:after="0" w:line="240" w:lineRule="auto"/>
            </w:pPr>
            <w:r>
              <w:rPr>
                <w:sz w:val="20"/>
              </w:rPr>
              <w:t>τₙ</w:t>
            </w:r>
          </w:p>
        </w:tc>
        <w:tc>
          <w:tcPr>
            <w:tcW w:w="3120" w:type="dxa"/>
          </w:tcPr>
          <w:p w14:paraId="7556B8D8">
            <w:pPr>
              <w:spacing w:after="0" w:line="240" w:lineRule="auto"/>
            </w:pPr>
            <w:r>
              <w:rPr>
                <w:sz w:val="20"/>
              </w:rPr>
              <w:t>1 × 10⁻⁶ s</w:t>
            </w:r>
          </w:p>
        </w:tc>
      </w:tr>
      <w:tr w14:paraId="2EC03318">
        <w:tc>
          <w:tcPr>
            <w:tcW w:w="3120" w:type="dxa"/>
          </w:tcPr>
          <w:p w14:paraId="49A1E075">
            <w:pPr>
              <w:spacing w:after="0" w:line="240" w:lineRule="auto"/>
            </w:pPr>
            <w:r>
              <w:rPr>
                <w:sz w:val="20"/>
              </w:rPr>
              <w:t>Hole lifetime</w:t>
            </w:r>
          </w:p>
        </w:tc>
        <w:tc>
          <w:tcPr>
            <w:tcW w:w="3120" w:type="dxa"/>
          </w:tcPr>
          <w:p w14:paraId="438B5916">
            <w:pPr>
              <w:spacing w:after="0" w:line="240" w:lineRule="auto"/>
            </w:pPr>
            <w:r>
              <w:rPr>
                <w:sz w:val="20"/>
              </w:rPr>
              <w:t>τₚ</w:t>
            </w:r>
          </w:p>
        </w:tc>
        <w:tc>
          <w:tcPr>
            <w:tcW w:w="3120" w:type="dxa"/>
          </w:tcPr>
          <w:p w14:paraId="06DDC411">
            <w:pPr>
              <w:spacing w:after="0" w:line="240" w:lineRule="auto"/>
            </w:pPr>
            <w:r>
              <w:rPr>
                <w:sz w:val="20"/>
              </w:rPr>
              <w:t>1 × 10⁻⁶ s</w:t>
            </w:r>
          </w:p>
        </w:tc>
      </w:tr>
      <w:tr w14:paraId="2B9089E9">
        <w:tc>
          <w:tcPr>
            <w:tcW w:w="3120" w:type="dxa"/>
          </w:tcPr>
          <w:p w14:paraId="4C82F5EB">
            <w:pPr>
              <w:spacing w:after="0" w:line="240" w:lineRule="auto"/>
            </w:pPr>
            <w:r>
              <w:rPr>
                <w:sz w:val="20"/>
              </w:rPr>
              <w:t>Radiative recombination</w:t>
            </w:r>
          </w:p>
        </w:tc>
        <w:tc>
          <w:tcPr>
            <w:tcW w:w="3120" w:type="dxa"/>
          </w:tcPr>
          <w:p w14:paraId="433AD1D4">
            <w:pPr>
              <w:spacing w:after="0" w:line="240" w:lineRule="auto"/>
            </w:pPr>
            <w:r>
              <w:rPr>
                <w:sz w:val="20"/>
              </w:rPr>
              <w:t>Bᵣₐₐ</w:t>
            </w:r>
          </w:p>
        </w:tc>
        <w:tc>
          <w:tcPr>
            <w:tcW w:w="3120" w:type="dxa"/>
          </w:tcPr>
          <w:p w14:paraId="7D79B660">
            <w:pPr>
              <w:spacing w:after="0" w:line="240" w:lineRule="auto"/>
            </w:pPr>
            <w:r>
              <w:rPr>
                <w:sz w:val="20"/>
              </w:rPr>
              <w:t>5 × 10⁻²² m³/s</w:t>
            </w:r>
          </w:p>
        </w:tc>
      </w:tr>
      <w:tr w14:paraId="7D486306">
        <w:tc>
          <w:tcPr>
            <w:tcW w:w="3120" w:type="dxa"/>
          </w:tcPr>
          <w:p w14:paraId="17607AB7">
            <w:pPr>
              <w:spacing w:after="0" w:line="240" w:lineRule="auto"/>
            </w:pPr>
            <w:r>
              <w:rPr>
                <w:sz w:val="20"/>
              </w:rPr>
              <w:t>Electron Auger coeff.</w:t>
            </w:r>
          </w:p>
        </w:tc>
        <w:tc>
          <w:tcPr>
            <w:tcW w:w="3120" w:type="dxa"/>
          </w:tcPr>
          <w:p w14:paraId="65BF615A">
            <w:pPr>
              <w:spacing w:after="0" w:line="240" w:lineRule="auto"/>
            </w:pPr>
            <w:r>
              <w:rPr>
                <w:sz w:val="20"/>
              </w:rPr>
              <w:t>Cₙ</w:t>
            </w:r>
          </w:p>
        </w:tc>
        <w:tc>
          <w:tcPr>
            <w:tcW w:w="3120" w:type="dxa"/>
          </w:tcPr>
          <w:p w14:paraId="26A457E4">
            <w:pPr>
              <w:spacing w:after="0" w:line="240" w:lineRule="auto"/>
            </w:pPr>
            <w:r>
              <w:rPr>
                <w:sz w:val="20"/>
              </w:rPr>
              <w:t>≈ 1 × 10⁻⁴² m⁶/s (negligible)</w:t>
            </w:r>
          </w:p>
        </w:tc>
      </w:tr>
      <w:tr w14:paraId="4CB7A625">
        <w:tc>
          <w:tcPr>
            <w:tcW w:w="3120" w:type="dxa"/>
          </w:tcPr>
          <w:p w14:paraId="5CFD1C03">
            <w:pPr>
              <w:spacing w:after="0" w:line="240" w:lineRule="auto"/>
            </w:pPr>
            <w:r>
              <w:rPr>
                <w:sz w:val="20"/>
              </w:rPr>
              <w:t>Hole Auger coeff.</w:t>
            </w:r>
          </w:p>
        </w:tc>
        <w:tc>
          <w:tcPr>
            <w:tcW w:w="3120" w:type="dxa"/>
          </w:tcPr>
          <w:p w14:paraId="3EC01C04">
            <w:pPr>
              <w:spacing w:after="0" w:line="240" w:lineRule="auto"/>
            </w:pPr>
            <w:r>
              <w:rPr>
                <w:sz w:val="20"/>
              </w:rPr>
              <w:t>Cₚ</w:t>
            </w:r>
          </w:p>
        </w:tc>
        <w:tc>
          <w:tcPr>
            <w:tcW w:w="3120" w:type="dxa"/>
          </w:tcPr>
          <w:p w14:paraId="7C367F83">
            <w:pPr>
              <w:spacing w:after="0" w:line="240" w:lineRule="auto"/>
            </w:pPr>
            <w:r>
              <w:rPr>
                <w:sz w:val="20"/>
              </w:rPr>
              <w:t>≈ 1 × 10⁻⁴² m⁶/s (negligible)</w:t>
            </w:r>
          </w:p>
        </w:tc>
      </w:tr>
      <w:tr w14:paraId="2FF41CA9">
        <w:tc>
          <w:tcPr>
            <w:tcW w:w="3120" w:type="dxa"/>
          </w:tcPr>
          <w:p w14:paraId="2EDB4B35">
            <w:pPr>
              <w:spacing w:after="0" w:line="240" w:lineRule="auto"/>
            </w:pPr>
            <w:r>
              <w:rPr>
                <w:sz w:val="20"/>
              </w:rPr>
              <w:t>Absorption coefficient</w:t>
            </w:r>
          </w:p>
        </w:tc>
        <w:tc>
          <w:tcPr>
            <w:tcW w:w="3120" w:type="dxa"/>
          </w:tcPr>
          <w:p w14:paraId="7BB4E574">
            <w:pPr>
              <w:spacing w:after="0" w:line="240" w:lineRule="auto"/>
            </w:pPr>
            <w:r>
              <w:rPr>
                <w:sz w:val="20"/>
              </w:rPr>
              <w:t>α</w:t>
            </w:r>
          </w:p>
        </w:tc>
        <w:tc>
          <w:tcPr>
            <w:tcW w:w="3120" w:type="dxa"/>
          </w:tcPr>
          <w:p w14:paraId="28414FE3">
            <w:pPr>
              <w:spacing w:after="0" w:line="240" w:lineRule="auto"/>
            </w:pPr>
            <w:r>
              <w:rPr>
                <w:sz w:val="20"/>
              </w:rPr>
              <w:t>1.3 × 10⁷ m⁻¹</w:t>
            </w:r>
          </w:p>
        </w:tc>
      </w:tr>
    </w:tbl>
    <w:p w14:paraId="21502B2F"/>
    <w:p w14:paraId="40A1B11B">
      <w:r>
        <w:t>Ion Migration Parameters:</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20"/>
        <w:gridCol w:w="3120"/>
        <w:gridCol w:w="3120"/>
      </w:tblGrid>
      <w:tr w14:paraId="533C700B">
        <w:tc>
          <w:tcPr>
            <w:tcW w:w="3120" w:type="dxa"/>
            <w:shd w:val="clear" w:color="auto" w:fill="D3D3D3"/>
          </w:tcPr>
          <w:p w14:paraId="6A46C232">
            <w:pPr>
              <w:spacing w:after="0" w:line="240" w:lineRule="auto"/>
            </w:pPr>
            <w:r>
              <w:rPr>
                <w:b/>
                <w:color w:val="19376D"/>
              </w:rPr>
              <w:t>Parameter</w:t>
            </w:r>
          </w:p>
        </w:tc>
        <w:tc>
          <w:tcPr>
            <w:tcW w:w="3120" w:type="dxa"/>
            <w:shd w:val="clear" w:color="auto" w:fill="D3D3D3"/>
          </w:tcPr>
          <w:p w14:paraId="2610DB40">
            <w:pPr>
              <w:spacing w:after="0" w:line="240" w:lineRule="auto"/>
            </w:pPr>
            <w:r>
              <w:rPr>
                <w:b/>
                <w:color w:val="19376D"/>
              </w:rPr>
              <w:t>Symbol</w:t>
            </w:r>
          </w:p>
        </w:tc>
        <w:tc>
          <w:tcPr>
            <w:tcW w:w="3120" w:type="dxa"/>
            <w:shd w:val="clear" w:color="auto" w:fill="D3D3D3"/>
          </w:tcPr>
          <w:p w14:paraId="56FBE623">
            <w:pPr>
              <w:spacing w:after="0" w:line="240" w:lineRule="auto"/>
            </w:pPr>
            <w:r>
              <w:rPr>
                <w:b/>
                <w:color w:val="19376D"/>
              </w:rPr>
              <w:t>Value</w:t>
            </w:r>
          </w:p>
        </w:tc>
      </w:tr>
      <w:tr w14:paraId="4852C72B">
        <w:tc>
          <w:tcPr>
            <w:tcW w:w="3120" w:type="dxa"/>
          </w:tcPr>
          <w:p w14:paraId="646B1B89">
            <w:pPr>
              <w:spacing w:after="0" w:line="240" w:lineRule="auto"/>
            </w:pPr>
            <w:r>
              <w:rPr>
                <w:sz w:val="20"/>
              </w:rPr>
              <w:t>Ion diffusivity</w:t>
            </w:r>
          </w:p>
        </w:tc>
        <w:tc>
          <w:tcPr>
            <w:tcW w:w="3120" w:type="dxa"/>
          </w:tcPr>
          <w:p w14:paraId="0F056573">
            <w:pPr>
              <w:spacing w:after="0" w:line="240" w:lineRule="auto"/>
            </w:pPr>
            <w:r>
              <w:rPr>
                <w:sz w:val="20"/>
              </w:rPr>
              <w:t>Dᵢ</w:t>
            </w:r>
          </w:p>
        </w:tc>
        <w:tc>
          <w:tcPr>
            <w:tcW w:w="3120" w:type="dxa"/>
          </w:tcPr>
          <w:p w14:paraId="7EFC711E">
            <w:pPr>
              <w:spacing w:after="0" w:line="240" w:lineRule="auto"/>
            </w:pPr>
            <w:r>
              <w:rPr>
                <w:sz w:val="20"/>
              </w:rPr>
              <w:t>1 × 10⁻¹⁶ m²/s</w:t>
            </w:r>
          </w:p>
        </w:tc>
      </w:tr>
      <w:tr w14:paraId="17FBF783">
        <w:tc>
          <w:tcPr>
            <w:tcW w:w="3120" w:type="dxa"/>
          </w:tcPr>
          <w:p w14:paraId="6A08DF62">
            <w:pPr>
              <w:spacing w:after="0" w:line="240" w:lineRule="auto"/>
            </w:pPr>
            <w:r>
              <w:rPr>
                <w:sz w:val="20"/>
              </w:rPr>
              <w:t>Ion saturation density</w:t>
            </w:r>
          </w:p>
        </w:tc>
        <w:tc>
          <w:tcPr>
            <w:tcW w:w="3120" w:type="dxa"/>
          </w:tcPr>
          <w:p w14:paraId="1C8B69DC">
            <w:pPr>
              <w:spacing w:after="0" w:line="240" w:lineRule="auto"/>
            </w:pPr>
            <w:r>
              <w:rPr>
                <w:sz w:val="20"/>
              </w:rPr>
              <w:t>P_lim</w:t>
            </w:r>
          </w:p>
        </w:tc>
        <w:tc>
          <w:tcPr>
            <w:tcW w:w="3120" w:type="dxa"/>
          </w:tcPr>
          <w:p w14:paraId="5FD2C61B">
            <w:pPr>
              <w:spacing w:after="0" w:line="240" w:lineRule="auto"/>
            </w:pPr>
            <w:r>
              <w:rPr>
                <w:sz w:val="20"/>
              </w:rPr>
              <w:t>1.6 × 10²⁷ m⁻³</w:t>
            </w:r>
          </w:p>
        </w:tc>
      </w:tr>
      <w:tr w14:paraId="723D5355">
        <w:tc>
          <w:tcPr>
            <w:tcW w:w="3120" w:type="dxa"/>
          </w:tcPr>
          <w:p w14:paraId="220E11BC">
            <w:pPr>
              <w:spacing w:after="0" w:line="240" w:lineRule="auto"/>
            </w:pPr>
            <w:r>
              <w:rPr>
                <w:sz w:val="20"/>
              </w:rPr>
              <w:t>Initial ion vacancy density</w:t>
            </w:r>
          </w:p>
        </w:tc>
        <w:tc>
          <w:tcPr>
            <w:tcW w:w="3120" w:type="dxa"/>
          </w:tcPr>
          <w:p w14:paraId="6BCFF604">
            <w:pPr>
              <w:spacing w:after="0" w:line="240" w:lineRule="auto"/>
            </w:pPr>
            <w:r>
              <w:rPr>
                <w:sz w:val="20"/>
              </w:rPr>
              <w:t>P₀</w:t>
            </w:r>
          </w:p>
        </w:tc>
        <w:tc>
          <w:tcPr>
            <w:tcW w:w="3120" w:type="dxa"/>
          </w:tcPr>
          <w:p w14:paraId="1BC24835">
            <w:pPr>
              <w:spacing w:after="0" w:line="240" w:lineRule="auto"/>
            </w:pPr>
            <w:r>
              <w:rPr>
                <w:sz w:val="20"/>
              </w:rPr>
              <w:t>1.6 × 10²⁴ m⁻³</w:t>
            </w:r>
          </w:p>
        </w:tc>
      </w:tr>
    </w:tbl>
    <w:p w14:paraId="2DC8C739">
      <w:r>
        <w:br w:type="page"/>
      </w:r>
    </w:p>
    <w:p w14:paraId="0DB0A457">
      <w:pPr>
        <w:pStyle w:val="3"/>
      </w:pPr>
      <w:r>
        <w:t>10. Correctness Notes and Known Limitations</w:t>
      </w:r>
    </w:p>
    <w:p w14:paraId="3CF2A9A6">
      <w:pPr>
        <w:pStyle w:val="4"/>
      </w:pPr>
      <w:r>
        <w:t>10.1 Duplicate Q Constant</w:t>
      </w:r>
    </w:p>
    <w:p w14:paraId="76DAA2D4">
      <w:r>
        <w:t>The elementary charge constant Q is redefined locally in continuity.py, fe_operators.py, and newton.py instead of being imported from constants.py. While all local definitions use identical values, this represents a maintenance risk: future changes to the reference value in constants.py will not automatically propagate to these modules.</w:t>
      </w:r>
    </w:p>
    <w:p w14:paraId="4AAD73FE">
      <w:pPr>
        <w:pStyle w:val="4"/>
      </w:pPr>
      <w:r>
        <w:t>10.2 Beer-Lambert Illumination Direction</w:t>
      </w:r>
    </w:p>
    <w:p w14:paraId="4265BACA">
      <w:r>
        <w:t>The code assumes light always enters from x = 0 (left contact). For n-i-p architectures where light physically enters through the electron-transport layer (right side), the simulated generation profile is reversed relative to the physical setup. Given α ≈ 1.3 × 10⁷ m⁻¹ (1/e characteristic depth ~77 nm), this directional difference significantly affects the spatial distribution of photogenerated carriers and thus impacts J-V characteristics.</w:t>
      </w:r>
    </w:p>
    <w:p w14:paraId="477A7CAC">
      <w:pPr>
        <w:pStyle w:val="4"/>
      </w:pPr>
      <w:r>
        <w:t>10.3 Uniform Ion Diffusivity</w:t>
      </w:r>
    </w:p>
    <w:p w14:paraId="69055C5A">
      <w:r>
        <w:t>The assemble_rhs function applies absorber.params.D_ion unifo</w:t>
      </w:r>
      <w:bookmarkStart w:id="0" w:name="_GoBack"/>
      <w:bookmarkEnd w:id="0"/>
      <w:r>
        <w:t>rmly across the entire device grid, rather than using per-layer or per-node diffusivity values. While initial ion density is zero in transport layers, this permits spurious ion diffusion into those regions during simulation, which may not reflect physical reality where ions are largely confined to the halide perovskite absorber.</w:t>
      </w:r>
    </w:p>
    <w:p w14:paraId="2A8CFD59">
      <w:pPr>
        <w:pStyle w:val="4"/>
      </w:pPr>
      <w:r>
        <w:t>10.4 Degradation PCE Proxy</w:t>
      </w:r>
    </w:p>
    <w:p w14:paraId="302D8457">
      <w:r>
        <w:t>Power conversion efficiency (PCE) computed for degradation studies uses open-circuit voltage (Vₒc) derived from the geometric mean of quasi-Fermi level separation, which overestimates by approximately 100–150 mV relative to rigorous Boltzmann-transport calculation. Additionally, the PCE metric lacks fill factor integration, making it a proxy metric rather than a complete performance indicator.</w:t>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Arimo for Powerline">
    <w:panose1 w:val="020B0704020202090204"/>
    <w:charset w:val="00"/>
    <w:family w:val="auto"/>
    <w:pitch w:val="default"/>
    <w:sig w:usb0="E0000AFF" w:usb1="5000000B" w:usb2="00000001" w:usb3="00000000" w:csb0="600001BF" w:csb1="DFF7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Arial Bold">
    <w:panose1 w:val="020B0604020202090204"/>
    <w:charset w:val="00"/>
    <w:family w:val="auto"/>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C2DD77">
    <w:pPr>
      <w:pStyle w:val="24"/>
      <w:jc w:val="center"/>
    </w:pPr>
    <w:r>
      <w:t xml:space="preserve">Page </w:t>
    </w: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DBFE4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9376D"/>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95496"/>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3</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陈宣言</cp:lastModifiedBy>
  <dcterms:modified xsi:type="dcterms:W3CDTF">2026-03-11T22:06:41Z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2C30830ECAF7617AF176B169C69A33DA_42</vt:lpwstr>
  </property>
</Properties>
</file>