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4.png" ContentType="image/png"/>
  <Override PartName="/word/media/rId31.png" ContentType="image/png"/>
  <Override PartName="/word/media/rId33.png" ContentType="image/png"/>
  <Override PartName="/word/media/rId34.png" ContentType="image/png"/>
  <Override PartName="/word/media/rId32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9.png" ContentType="image/png"/>
  <Override PartName="/word/media/rId30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SolarLab</w:t>
      </w:r>
      <w:r>
        <w:t xml:space="preserve"> </w:t>
      </w:r>
      <w:r>
        <w:t xml:space="preserve">Device</w:t>
      </w:r>
      <w:r>
        <w:t xml:space="preserve"> </w:t>
      </w:r>
      <w:r>
        <w:t xml:space="preserve">Simulator</w:t>
      </w:r>
      <w:r>
        <w:t xml:space="preserve"> </w:t>
      </w:r>
      <w:r>
        <w:t xml:space="preserve">against</w:t>
      </w:r>
      <w:r>
        <w:t xml:space="preserve"> </w:t>
      </w:r>
      <w:r>
        <w:t xml:space="preserve">SCAPS-1D</w:t>
      </w:r>
      <w:r>
        <w:t xml:space="preserve"> </w:t>
      </w:r>
      <w:r>
        <w:t xml:space="preserve">—</w:t>
      </w:r>
      <w:r>
        <w:t xml:space="preserve"> </w:t>
      </w:r>
      <w:r>
        <w:t xml:space="preserve">Transient</w:t>
      </w:r>
      <w:r>
        <w:t xml:space="preserve"> </w:t>
      </w:r>
      <w:r>
        <w:t xml:space="preserve">(f</w:t>
      </w:r>
      <w:r>
        <w:t xml:space="preserve"> </w:t>
      </w:r>
      <w:r>
        <w:t xml:space="preserve">=</w:t>
      </w:r>
      <w:r>
        <w:t xml:space="preserve"> </w:t>
      </w:r>
      <w:r>
        <w:t xml:space="preserve">0.53</w:t>
      </w:r>
      <w:r>
        <w:t xml:space="preserve"> </w:t>
      </w:r>
      <w:r>
        <w:t xml:space="preserve">/</w:t>
      </w:r>
      <w:r>
        <w:t xml:space="preserve"> </w:t>
      </w:r>
      <w:r>
        <w:t xml:space="preserve">0.66)</w:t>
      </w:r>
      <w:r>
        <w:t xml:space="preserve"> </w:t>
      </w:r>
      <w:r>
        <w:t xml:space="preserve">vs</w:t>
      </w:r>
      <w:r>
        <w:t xml:space="preserve"> </w:t>
      </w:r>
      <w:r>
        <w:t xml:space="preserve">Steady-State</w:t>
      </w:r>
      <w:r>
        <w:t xml:space="preserve"> </w:t>
      </w:r>
      <w:r>
        <w:t xml:space="preserve">Interface-States</w:t>
      </w:r>
      <w:r>
        <w:t xml:space="preserve"> </w:t>
      </w:r>
      <w:r>
        <w:t xml:space="preserve">Comparison</w:t>
      </w:r>
    </w:p>
    <w:p>
      <w:pPr>
        <w:pStyle w:val="Date"/>
      </w:pPr>
      <w:r>
        <w:t xml:space="preserve">2026-06-22</w:t>
      </w:r>
    </w:p>
    <w:bookmarkStart w:id="20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2026-06-22 revision — de-spike fraction comparison.</w:t>
      </w:r>
      <w:r>
        <w:t xml:space="preserve"> </w:t>
      </w:r>
      <w:r>
        <w:t xml:space="preserve">This revision supersedes the 2026-06-15 report by running the complete validation suite (base operating point + all eleven single-variable sweeps) at</w:t>
      </w:r>
      <w:r>
        <w:t xml:space="preserve"> </w:t>
      </w:r>
      <w:r>
        <w:rPr>
          <w:bCs/>
          <w:b/>
        </w:rPr>
        <w:t xml:space="preserve">two values of the SCAPS-emulation de-spike fraction</w:t>
      </w:r>
      <w:r>
        <w:t xml:space="preserve"> </w:t>
      </w:r>
      <w:r>
        <w:rPr>
          <w:rStyle w:val="VerbatimChar"/>
        </w:rPr>
        <w:t xml:space="preserve">het_recomb_despike</w:t>
      </w:r>
      <w:r>
        <w:t xml:space="preserve">:</w:t>
      </w:r>
      <w:r>
        <w:t xml:space="preserve"> </w:t>
      </w:r>
      <w:r>
        <w:rPr>
          <w:bCs/>
          <w:b/>
        </w:rPr>
        <w:t xml:space="preserve">f = 0.53</w:t>
      </w:r>
      <w:r>
        <w:t xml:space="preserve"> </w:t>
      </w:r>
      <w:r>
        <w:t xml:space="preserve">(calibrated to land the base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on SCAPS) and</w:t>
      </w:r>
      <w:r>
        <w:t xml:space="preserve"> </w:t>
      </w:r>
      <w:r>
        <w:rPr>
          <w:bCs/>
          <w:b/>
        </w:rPr>
        <w:t xml:space="preserve">f = 0.66</w:t>
      </w:r>
      <w:r>
        <w:t xml:space="preserve"> </w:t>
      </w:r>
      <w:r>
        <w:t xml:space="preserve">(a higher fraction that tightens the responding-sweep magnitudes). Every figure in Section 4 now overlays SCAPS against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SolarLab fractions, and Tables 1b and 2 tabulate the base absolutes and per-sweep closure at each. Headline: raising f from 0.53 to 0.66 tightens five responding sweeps toward SCAPS (CBO 85-&gt;88 %, perovskite-CB bulk N</w:t>
      </w:r>
      <w:r>
        <w:rPr>
          <w:vertAlign w:val="subscript"/>
        </w:rPr>
        <w:t xml:space="preserve">t</w:t>
      </w:r>
      <w:r>
        <w:t xml:space="preserve"> </w:t>
      </w:r>
      <w:r>
        <w:t xml:space="preserve">69-&gt;94 %, PVK/ETL interface N</w:t>
      </w:r>
      <w:r>
        <w:rPr>
          <w:vertAlign w:val="subscript"/>
        </w:rPr>
        <w:t xml:space="preserve">t</w:t>
      </w:r>
      <w:r>
        <w:t xml:space="preserve"> </w:t>
      </w:r>
      <w:r>
        <w:t xml:space="preserve">72-&gt;80 %, PVK/ETL interface E</w:t>
      </w:r>
      <w:r>
        <w:rPr>
          <w:vertAlign w:val="subscript"/>
        </w:rPr>
        <w:t xml:space="preserve">t</w:t>
      </w:r>
      <w:r>
        <w:t xml:space="preserve"> </w:t>
      </w:r>
      <w:r>
        <w:t xml:space="preserve">23-&gt;49 %) but</w:t>
      </w:r>
      <w:r>
        <w:t xml:space="preserve"> </w:t>
      </w:r>
      <w:r>
        <w:rPr>
          <w:bCs/>
          <w:b/>
        </w:rPr>
        <w:t xml:space="preserve">over-shoots the base V</w:t>
      </w:r>
      <w:r>
        <w:rPr>
          <w:vertAlign w:val="subscript"/>
          <w:bCs/>
          <w:b/>
        </w:rPr>
        <w:t xml:space="preserve">oc</w:t>
      </w:r>
      <w:r>
        <w:rPr>
          <w:bCs/>
          <w:b/>
        </w:rPr>
        <w:t xml:space="preserve"> </w:t>
      </w:r>
      <w:r>
        <w:rPr>
          <w:bCs/>
          <w:b/>
        </w:rPr>
        <w:t xml:space="preserve">to +13 mV</w:t>
      </w:r>
      <w:r>
        <w:t xml:space="preserve"> </w:t>
      </w:r>
      <w:r>
        <w:t xml:space="preserve">(vs -4 mV at f = 0.53) and</w:t>
      </w:r>
      <w:r>
        <w:t xml:space="preserve"> </w:t>
      </w:r>
      <w:r>
        <w:rPr>
          <w:bCs/>
          <w:b/>
        </w:rPr>
        <w:t xml:space="preserve">flips the PVK-donor-doping sweep to a direction mismatch</w:t>
      </w:r>
      <w:r>
        <w:t xml:space="preserve">; the ETL-donor-doping mismatch persists at both fractions (it needs the interface-plane states, Section 5.3). f = 0.53 is the recommended emulation default; f = 0.66 trades base-absolute accuracy and one sweep direction for tighter trend magnitudes.</w:t>
      </w:r>
      <w:r>
        <w:t xml:space="preserve"> </w:t>
      </w:r>
      <w:r>
        <w:rPr>
          <w:bCs/>
          <w:b/>
        </w:rPr>
        <w:t xml:space="preserve">This revision additionally overlays a third SolarLab configuration: the steady-state interface-plane-states driver with a newly calibrated per-interface channel (</w:t>
      </w:r>
      <w:r>
        <w:rPr>
          <w:rStyle w:val="VerbatimChar"/>
          <w:bCs/>
          <w:b/>
        </w:rPr>
        <w:t xml:space="preserve">iface_state_calibration_factor</w:t>
      </w:r>
      <w:r>
        <w:rPr>
          <w:bCs/>
          <w:b/>
        </w:rPr>
        <w:t xml:space="preserve"> </w:t>
      </w:r>
      <w:r>
        <w:rPr>
          <w:bCs/>
          <w:b/>
        </w:rPr>
        <w:t xml:space="preserve">= 0.02 HTL/PVK, 0.10 PVK/ETL).</w:t>
      </w:r>
      <w:r>
        <w:t xml:space="preserve"> </w:t>
      </w:r>
      <w:r>
        <w:t xml:space="preserve">It is the only configuration that recovers the ETL-donor-doping rising direction both transient fractions get backwards, and the calibration brings its over-strong interface channel from base −61 mV / Nd_ETL ~2× over / HTL/PVK N</w:t>
      </w:r>
      <w:r>
        <w:rPr>
          <w:vertAlign w:val="subscript"/>
        </w:rPr>
        <w:t xml:space="preserve">t</w:t>
      </w:r>
      <w:r>
        <w:t xml:space="preserve"> </w:t>
      </w:r>
      <w:r>
        <w:t xml:space="preserve">~12× over to base −0.1 mV / Nd_ETL 0.84× / HTL/PVK N</w:t>
      </w:r>
      <w:r>
        <w:rPr>
          <w:vertAlign w:val="subscript"/>
        </w:rPr>
        <w:t xml:space="preserve">t</w:t>
      </w:r>
      <w:r>
        <w:t xml:space="preserve"> </w:t>
      </w:r>
      <w:r>
        <w:t xml:space="preserve">1.0× of SCAPS, all directions matched (Section 5.3). The SS-states curves are shown in all four panels (V</w:t>
      </w:r>
      <w:r>
        <w:rPr>
          <w:vertAlign w:val="subscript"/>
        </w:rPr>
        <w:t xml:space="preserve">oc</w:t>
      </w:r>
      <w:r>
        <w:t xml:space="preserve"> </w:t>
      </w:r>
      <w:r>
        <w:t xml:space="preserve">/ J</w:t>
      </w:r>
      <w:r>
        <w:rPr>
          <w:vertAlign w:val="subscript"/>
        </w:rPr>
        <w:t xml:space="preserve">sc</w:t>
      </w:r>
      <w:r>
        <w:t xml:space="preserve"> </w:t>
      </w:r>
      <w:r>
        <w:t xml:space="preserve">/ FF / PCE) of each Section-4 figure (Table 1c gives its base absolutes; Table 2 its per-sweep V</w:t>
      </w:r>
      <w:r>
        <w:rPr>
          <w:vertAlign w:val="subscript"/>
        </w:rPr>
        <w:t xml:space="preserve">oc</w:t>
      </w:r>
      <w:r>
        <w:t xml:space="preserve"> </w:t>
      </w:r>
      <w:r>
        <w:t xml:space="preserve">closure). The remaining narrative (root-cause, interface residual, steady-state cross-validation) is unchanged from 2026-06-15 and retained below.</w:t>
      </w:r>
    </w:p>
    <w:p>
      <w:pPr>
        <w:pStyle w:val="BodyText"/>
      </w:pPr>
      <w:r>
        <w:t xml:space="preserve">This report documents the validation of SolarLab — an in-house one-dimensional</w:t>
      </w:r>
      <w:r>
        <w:t xml:space="preserve"> </w:t>
      </w:r>
      <w:r>
        <w:t xml:space="preserve">device simulator coupling drift–diffusion transport, the Poisson equation, and</w:t>
      </w:r>
      <w:r>
        <w:t xml:space="preserve"> </w:t>
      </w:r>
      <w:r>
        <w:t xml:space="preserve">mobile-ion migration with transfer-matrix optics — against the established</w:t>
      </w:r>
      <w:r>
        <w:t xml:space="preserve"> </w:t>
      </w:r>
      <w:r>
        <w:t xml:space="preserve">reference solver SCAPS-1D. The test case is the partner’s three-layer perovskite</w:t>
      </w:r>
      <w:r>
        <w:t xml:space="preserve"> </w:t>
      </w:r>
      <w:r>
        <w:t xml:space="preserve">Base Model, and the comparison spans the base current–voltage operating point</w:t>
      </w:r>
      <w:r>
        <w:t xml:space="preserve"> </w:t>
      </w:r>
      <w:r>
        <w:t xml:space="preserve">together with all eleven single-variable parameter sweeps recorded in the</w:t>
      </w:r>
      <w:r>
        <w:t xml:space="preserve"> </w:t>
      </w:r>
      <w:r>
        <w:t xml:space="preserve">partner workbook. This revision (2026-06-15) supersedes the 2026-06-11 report:</w:t>
      </w:r>
      <w:r>
        <w:t xml:space="preserve"> </w:t>
      </w:r>
      <w:r>
        <w:t xml:space="preserve">since then the dominant open-circuit-voltage discrepancy was root-caused to a</w:t>
      </w:r>
      <w:r>
        <w:t xml:space="preserve"> </w:t>
      </w:r>
      <w:r>
        <w:t xml:space="preserve">missing effective-density-of-states term in the heterojunction transport</w:t>
      </w:r>
      <w:r>
        <w:t xml:space="preserve"> </w:t>
      </w:r>
      <w:r>
        <w:t xml:space="preserve">discretisation, the correction was implemented and verified</w:t>
      </w:r>
      <w:r>
        <w:t xml:space="preserve"> </w:t>
      </w:r>
      <w:r>
        <w:t xml:space="preserve">(</w:t>
      </w:r>
      <w:r>
        <w:rPr>
          <w:rStyle w:val="VerbatimChar"/>
        </w:rPr>
        <w:t xml:space="preserve">dos_band_potentials</w:t>
      </w:r>
      <w:r>
        <w:t xml:space="preserve">), and the validation protocol was refined (denser voltage</w:t>
      </w:r>
      <w:r>
        <w:t xml:space="preserve"> </w:t>
      </w:r>
      <w:r>
        <w:t xml:space="preserve">grid; a detailed-balance-ceiling validity guard on degenerate sweep points). In</w:t>
      </w:r>
      <w:r>
        <w:t xml:space="preserve"> </w:t>
      </w:r>
      <w:r>
        <w:t xml:space="preserve">the corrected configuration the base operating point agrees with SCAPS to</w:t>
      </w:r>
      <w:r>
        <w:t xml:space="preserve"> </w:t>
      </w:r>
      <w:r>
        <w:t xml:space="preserve">−50 mV in V</w:t>
      </w:r>
      <w:r>
        <w:rPr>
          <w:vertAlign w:val="subscript"/>
        </w:rPr>
        <w:t xml:space="preserve">oc</w:t>
      </w:r>
      <w:r>
        <w:t xml:space="preserve"> </w:t>
      </w:r>
      <w:r>
        <w:t xml:space="preserve">(previously −96 mV), +0.9 percentage points in FF, and −2 % in</w:t>
      </w:r>
      <w:r>
        <w:t xml:space="preserve"> </w:t>
      </w:r>
      <w:r>
        <w:t xml:space="preserve">J</w:t>
      </w:r>
      <w:r>
        <w:rPr>
          <w:vertAlign w:val="subscript"/>
        </w:rPr>
        <w:t xml:space="preserve">sc</w:t>
      </w:r>
      <w:r>
        <w:t xml:space="preserve">. Across the eleven sweeps, six match SCAPS (in direction and shape, or</w:t>
      </w:r>
      <w:r>
        <w:t xml:space="preserve"> </w:t>
      </w:r>
      <w:r>
        <w:t xml:space="preserve">flat in both solvers), two match partially, and three remain open; every</w:t>
      </w:r>
      <w:r>
        <w:t xml:space="preserve"> </w:t>
      </w:r>
      <w:r>
        <w:t xml:space="preserve">physically well-posed result satisfies the governing bounds. Notably, the</w:t>
      </w:r>
      <w:r>
        <w:t xml:space="preserve"> </w:t>
      </w:r>
      <w:r>
        <w:t xml:space="preserve">perovskite bulk-defect sweeps — previously flat — now reproduce the SCAPS</w:t>
      </w:r>
      <w:r>
        <w:t xml:space="preserve"> </w:t>
      </w:r>
      <w:r>
        <w:t xml:space="preserve">V</w:t>
      </w:r>
      <w:r>
        <w:rPr>
          <w:vertAlign w:val="subscript"/>
        </w:rPr>
        <w:t xml:space="preserve">oc</w:t>
      </w:r>
      <w:r>
        <w:t xml:space="preserve">/PCE descent in direction after a sweep-wiring defect was found and fixed</w:t>
      </w:r>
      <w:r>
        <w:t xml:space="preserve"> </w:t>
      </w:r>
      <w:r>
        <w:t xml:space="preserve">(Section 5). The remaining open items trace to one named residual — the</w:t>
      </w:r>
      <w:r>
        <w:t xml:space="preserve"> </w:t>
      </w:r>
      <w:r>
        <w:t xml:space="preserve">interface-recombination channel — and are documented rather than tuned away.</w:t>
      </w:r>
    </w:p>
    <w:bookmarkEnd w:id="20"/>
    <w:bookmarkStart w:id="2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SolarLab solves the coupled drift–diffusion and Poisson system for electrons,</w:t>
      </w:r>
      <w:r>
        <w:t xml:space="preserve"> </w:t>
      </w:r>
      <w:r>
        <w:t xml:space="preserve">holes, and mobile ionic species in one spatial dimension, using a</w:t>
      </w:r>
      <w:r>
        <w:t xml:space="preserve"> </w:t>
      </w:r>
      <w:r>
        <w:t xml:space="preserve">Scharfetter–Gummel discretization advanced in time by an implicit Radau</w:t>
      </w:r>
      <w:r>
        <w:t xml:space="preserve"> </w:t>
      </w:r>
      <w:r>
        <w:t xml:space="preserve">integrator, with optical generation supplied by a transfer-matrix (TMM) optical</w:t>
      </w:r>
      <w:r>
        <w:t xml:space="preserve"> </w:t>
      </w:r>
      <w:r>
        <w:t xml:space="preserve">stack. SCAPS-1D is a widely used semiconductor device simulator for thin-film</w:t>
      </w:r>
      <w:r>
        <w:t xml:space="preserve"> </w:t>
      </w:r>
      <w:r>
        <w:t xml:space="preserve">and perovskite cells and serves here as the reference against which SolarLab is</w:t>
      </w:r>
      <w:r>
        <w:t xml:space="preserve"> </w:t>
      </w:r>
      <w:r>
        <w:t xml:space="preserve">benchmarked.</w:t>
      </w:r>
    </w:p>
    <w:p>
      <w:pPr>
        <w:pStyle w:val="BodyText"/>
      </w:pPr>
      <w:r>
        <w:t xml:space="preserve">The validation device is the partner Base Model: a hole-transport layer (spiro,</w:t>
      </w:r>
      <w:r>
        <w:t xml:space="preserve"> </w:t>
      </w:r>
      <w:r>
        <w:t xml:space="preserve">20 nm), a methylammonium lead iodide absorber (MAPbI</w:t>
      </w:r>
      <w:r>
        <w:rPr>
          <w:vertAlign w:val="subscript"/>
        </w:rPr>
        <w:t xml:space="preserve">3</w:t>
      </w:r>
      <w:r>
        <w:t xml:space="preserve">, 800 nm, bandgap</w:t>
      </w:r>
      <w:r>
        <w:t xml:space="preserve"> </w:t>
      </w:r>
      <w:r>
        <w:t xml:space="preserve">E</w:t>
      </w:r>
      <w:r>
        <w:rPr>
          <w:vertAlign w:val="subscript"/>
        </w:rPr>
        <w:t xml:space="preserve">g</w:t>
      </w:r>
      <w:r>
        <w:t xml:space="preserve"> </w:t>
      </w:r>
      <w:r>
        <w:t xml:space="preserve">= 1.53 eV), and an electron-transport layer (TiO</w:t>
      </w:r>
      <w:r>
        <w:rPr>
          <w:vertAlign w:val="subscript"/>
        </w:rPr>
        <w:t xml:space="preserve">2</w:t>
      </w:r>
      <w:r>
        <w:t xml:space="preserve">, 25 nm). All material</w:t>
      </w:r>
      <w:r>
        <w:t xml:space="preserve"> </w:t>
      </w:r>
      <w:r>
        <w:t xml:space="preserve">and defect parameters, and the reference sweep data, are taken from the partner</w:t>
      </w:r>
      <w:r>
        <w:t xml:space="preserve"> </w:t>
      </w:r>
      <w:r>
        <w:t xml:space="preserve">workbook</w:t>
      </w:r>
      <w:r>
        <w:t xml:space="preserve"> </w:t>
      </w:r>
      <w:r>
        <w:rPr>
          <w:rStyle w:val="VerbatimChar"/>
        </w:rPr>
        <w:t xml:space="preserve">1R-Parameters.xlsx</w:t>
      </w:r>
      <w:r>
        <w:t xml:space="preserve">.</w:t>
      </w:r>
    </w:p>
    <w:p>
      <w:pPr>
        <w:pStyle w:val="BodyText"/>
      </w:pPr>
      <w:r>
        <w:t xml:space="preserve">The validation philosophy prioritizes trend fidelity and physical validity over</w:t>
      </w:r>
      <w:r>
        <w:t xml:space="preserve"> </w:t>
      </w:r>
      <w:r>
        <w:t xml:space="preserve">absolute numerical coincidence. A device simulator earns confidence first by</w:t>
      </w:r>
      <w:r>
        <w:t xml:space="preserve"> </w:t>
      </w:r>
      <w:r>
        <w:t xml:space="preserve">reproducing the</w:t>
      </w:r>
      <w:r>
        <w:t xml:space="preserve"> </w:t>
      </w:r>
      <w:r>
        <w:rPr>
          <w:iCs/>
          <w:i/>
        </w:rPr>
        <w:t xml:space="preserve">direction and shape</w:t>
      </w:r>
      <w:r>
        <w:t xml:space="preserve"> </w:t>
      </w:r>
      <w:r>
        <w:t xml:space="preserve">of a cell’s response to each design</w:t>
      </w:r>
      <w:r>
        <w:t xml:space="preserve"> </w:t>
      </w:r>
      <w:r>
        <w:t xml:space="preserve">parameter, and by never violating the conservation laws and detailed-balance</w:t>
      </w:r>
      <w:r>
        <w:t xml:space="preserve"> </w:t>
      </w:r>
      <w:r>
        <w:t xml:space="preserve">bounds that constrain any physical device. Absolute figures of merit are</w:t>
      </w:r>
      <w:r>
        <w:t xml:space="preserve"> </w:t>
      </w:r>
      <w:r>
        <w:t xml:space="preserve">expected to approach the reference but need not coincide, particularly where the</w:t>
      </w:r>
      <w:r>
        <w:t xml:space="preserve"> </w:t>
      </w:r>
      <w:r>
        <w:t xml:space="preserve">two solvers make different but individually defensible modelling choices. This</w:t>
      </w:r>
      <w:r>
        <w:t xml:space="preserve"> </w:t>
      </w:r>
      <w:r>
        <w:t xml:space="preserve">report applies that standard throughout.</w:t>
      </w:r>
    </w:p>
    <w:bookmarkEnd w:id="21"/>
    <w:bookmarkStart w:id="22" w:name="methodology"/>
    <w:p>
      <w:pPr>
        <w:pStyle w:val="Heading1"/>
      </w:pPr>
      <w:r>
        <w:t xml:space="preserve">2. Methodology</w:t>
      </w:r>
    </w:p>
    <w:p>
      <w:pPr>
        <w:pStyle w:val="FirstParagraph"/>
      </w:pPr>
      <w:r>
        <w:t xml:space="preserve">SolarLab mirrors the SCAPS Base Model through the</w:t>
      </w:r>
      <w:r>
        <w:t xml:space="preserve"> </w:t>
      </w:r>
      <w:r>
        <w:rPr>
          <w:rStyle w:val="VerbatimChar"/>
        </w:rPr>
        <w:t xml:space="preserve">scaps_mirror_v2.yaml</w:t>
      </w:r>
      <w:r>
        <w:t xml:space="preserve"> </w:t>
      </w:r>
      <w:r>
        <w:t xml:space="preserve">device</w:t>
      </w:r>
      <w:r>
        <w:t xml:space="preserve"> </w:t>
      </w:r>
      <w:r>
        <w:t xml:space="preserve">definition (partner layer stack, doping, mobilities, defect levels, optical</w:t>
      </w:r>
      <w:r>
        <w:t xml:space="preserve"> </w:t>
      </w:r>
      <w:r>
        <w:t xml:space="preserve">constants, and a glass front substrate completing the optical stack). Each of</w:t>
      </w:r>
      <w:r>
        <w:t xml:space="preserve"> </w:t>
      </w:r>
      <w:r>
        <w:t xml:space="preserve">the eleven single-variable sweeps varies one parameter across the workbook range</w:t>
      </w:r>
      <w:r>
        <w:t xml:space="preserve"> </w:t>
      </w:r>
      <w:r>
        <w:t xml:space="preserve">while holding all others fixed, and the figures of merit (V</w:t>
      </w:r>
      <w:r>
        <w:rPr>
          <w:vertAlign w:val="subscript"/>
        </w:rPr>
        <w:t xml:space="preserve">oc</w:t>
      </w:r>
      <w:r>
        <w:t xml:space="preserve">, J</w:t>
      </w:r>
      <w:r>
        <w:rPr>
          <w:vertAlign w:val="subscript"/>
        </w:rPr>
        <w:t xml:space="preserve">sc</w:t>
      </w:r>
      <w:r>
        <w:t xml:space="preserve">, FF, PCE)</w:t>
      </w:r>
      <w:r>
        <w:t xml:space="preserve"> </w:t>
      </w:r>
      <w:r>
        <w:t xml:space="preserve">are compared directly against the SCAPS values.</w:t>
      </w:r>
    </w:p>
    <w:p>
      <w:pPr>
        <w:pStyle w:val="BodyText"/>
      </w:pPr>
      <w:r>
        <w:t xml:space="preserve">Two protocol elements were corrected since the previous revision. First, the</w:t>
      </w:r>
      <w:r>
        <w:t xml:space="preserve"> </w:t>
      </w:r>
      <w:r>
        <w:t xml:space="preserve">voltage grid: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is extracted by interpolating the J–V zero crossing, and the</w:t>
      </w:r>
      <w:r>
        <w:t xml:space="preserve"> </w:t>
      </w:r>
      <w:r>
        <w:t xml:space="preserve">previous 20-point grid’s linear interpolation across the exponential diode knee</w:t>
      </w:r>
      <w:r>
        <w:t xml:space="preserve"> </w:t>
      </w:r>
      <w:r>
        <w:t xml:space="preserve">under-read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by 10–16 mV; the pipeline now uses a 40-point grid, verified</w:t>
      </w:r>
      <w:r>
        <w:t xml:space="preserve"> </w:t>
      </w:r>
      <w:r>
        <w:t xml:space="preserve">against a steady-state bisection. Second, a physical-validity guard: sweep</w:t>
      </w:r>
      <w:r>
        <w:t xml:space="preserve"> </w:t>
      </w:r>
      <w:r>
        <w:t xml:space="preserve">points whose extracted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reaches the absorber’s detailed-balance</w:t>
      </w:r>
      <w:r>
        <w:t xml:space="preserve"> </w:t>
      </w:r>
      <w:r>
        <w:t xml:space="preserve">(radiative-limit) ceiling — which no physical curve can cross — are flagged as</w:t>
      </w:r>
      <w:r>
        <w:t xml:space="preserve"> </w:t>
      </w:r>
      <w:r>
        <w:t xml:space="preserve">degenerate and excluded from trend statistics, while remaining visible in the</w:t>
      </w:r>
      <w:r>
        <w:t xml:space="preserve"> </w:t>
      </w:r>
      <w:r>
        <w:t xml:space="preserve">figures; this concerns the two lowest ETL-doping points, where the</w:t>
      </w:r>
      <w:r>
        <w:t xml:space="preserve"> </w:t>
      </w:r>
      <w:r>
        <w:t xml:space="preserve">essentially-undoped ETL cannot form a junction and the J–V collapses</w:t>
      </w:r>
      <w:r>
        <w:t xml:space="preserve"> </w:t>
      </w:r>
      <w:r>
        <w:t xml:space="preserve">(FF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0.3–0.6).</w:t>
      </w:r>
    </w:p>
    <w:p>
      <w:pPr>
        <w:pStyle w:val="BodyText"/>
      </w:pPr>
      <w:r>
        <w:t xml:space="preserve">The headline configuration adds the</w:t>
      </w:r>
      <w:r>
        <w:t xml:space="preserve"> </w:t>
      </w:r>
      <w:r>
        <w:rPr>
          <w:rStyle w:val="VerbatimChar"/>
        </w:rPr>
        <w:t xml:space="preserve">dos_band_potentials</w:t>
      </w:r>
      <w:r>
        <w:t xml:space="preserve"> </w:t>
      </w:r>
      <w:r>
        <w:t xml:space="preserve">transport correction</w:t>
      </w:r>
      <w:r>
        <w:t xml:space="preserve"> </w:t>
      </w:r>
      <w:r>
        <w:t xml:space="preserve">(Section 5): with Boltzmann statistics the heterostructure drift-diffusion</w:t>
      </w:r>
      <w:r>
        <w:t xml:space="preserve"> </w:t>
      </w:r>
      <w:r>
        <w:t xml:space="preserve">potentials carry effective-density-of-states terms (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nor/>
            <m:sty m:val="p"/>
          </m:rPr>
          <m:t>ln</m:t>
        </m:r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nor/>
            <m:sty m:val="p"/>
          </m:rPr>
          <m:t>ln</m:t>
        </m:r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) that the discretisation previously omitted, imposing a spurious</w:t>
      </w:r>
      <w:r>
        <w:t xml:space="preserve"> </w:t>
      </w:r>
      <m:oMath>
        <m:r>
          <m:t>k</m:t>
        </m:r>
        <m:r>
          <m:t>T</m:t>
        </m:r>
        <m:r>
          <m:rPr>
            <m:nor/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 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quasi-Fermi-level step at each heterojunction</w:t>
      </w:r>
      <w:r>
        <w:t xml:space="preserve"> </w:t>
      </w:r>
      <w:r>
        <w:t xml:space="preserve">(137 mV total on this stack). The correction is exact, parameter-free, and</w:t>
      </w:r>
      <w:r>
        <w:t xml:space="preserve"> </w:t>
      </w:r>
      <w:r>
        <w:t xml:space="preserve">verified against the analytic detailed-balance ceiling; the flag-off reference</w:t>
      </w:r>
      <w:r>
        <w:t xml:space="preserve"> </w:t>
      </w:r>
      <w:r>
        <w:t xml:space="preserve">results are tabulated in Appendix B.</w:t>
      </w:r>
    </w:p>
    <w:p>
      <w:pPr>
        <w:pStyle w:val="BodyText"/>
      </w:pPr>
      <w:r>
        <w:t xml:space="preserve">Every simulation is checked against physical gates: J</w:t>
      </w:r>
      <w:r>
        <w:rPr>
          <w:vertAlign w:val="subscript"/>
        </w:rPr>
        <w:t xml:space="preserve">sc</w:t>
      </w:r>
      <w:r>
        <w:t xml:space="preserve"> </w:t>
      </w:r>
      <w:r>
        <w:t xml:space="preserve">below the</w:t>
      </w:r>
      <w:r>
        <w:t xml:space="preserve"> </w:t>
      </w:r>
      <w:r>
        <w:t xml:space="preserve">Shockley–Queisser limit for E</w:t>
      </w:r>
      <w:r>
        <w:rPr>
          <w:vertAlign w:val="subscript"/>
        </w:rPr>
        <w:t xml:space="preserve">g</w:t>
      </w:r>
      <w:r>
        <w:t xml:space="preserve"> </w:t>
      </w:r>
      <w:r>
        <w:t xml:space="preserve">= 1.53 eV;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below the detailed-balance</w:t>
      </w:r>
      <w:r>
        <w:t xml:space="preserve"> </w:t>
      </w:r>
      <w:r>
        <w:t xml:space="preserve">ceiling; non-negative recombination at illuminated forward bias; and optical</w:t>
      </w:r>
      <w:r>
        <w:t xml:space="preserve"> </w:t>
      </w:r>
      <w:r>
        <w:t xml:space="preserve">balance R + T + A = 1.</w:t>
      </w:r>
    </w:p>
    <w:bookmarkEnd w:id="22"/>
    <w:bookmarkStart w:id="23" w:name="base-operating-point"/>
    <w:p>
      <w:pPr>
        <w:pStyle w:val="Heading1"/>
      </w:pPr>
      <w:r>
        <w:t xml:space="preserve">3. Base operating point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SolarLab 2026-05-29</w:t>
            </w:r>
          </w:p>
        </w:tc>
        <w:tc>
          <w:p>
            <w:pPr>
              <w:pStyle w:val="Compact"/>
              <w:jc w:val="left"/>
            </w:pPr>
            <w:r>
              <w:t xml:space="preserve">SolarLab corrected</w:t>
            </w:r>
          </w:p>
        </w:tc>
        <w:tc>
          <w:p>
            <w:pPr>
              <w:pStyle w:val="Compact"/>
              <w:jc w:val="left"/>
            </w:pPr>
            <w:r>
              <w:t xml:space="preserve">SCAPS</w:t>
            </w:r>
          </w:p>
        </w:tc>
        <w:tc>
          <w:p>
            <w:pPr>
              <w:pStyle w:val="Compact"/>
              <w:jc w:val="left"/>
            </w:pPr>
            <w:r>
              <w:t xml:space="preserve">Residual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</w:t>
            </w:r>
            <w:r>
              <w:rPr>
                <w:vertAlign w:val="subscript"/>
              </w:rPr>
              <w:t xml:space="preserve">oc</w:t>
            </w:r>
            <w:r>
              <w:t xml:space="preserve"> </w:t>
            </w:r>
            <w:r>
              <w:t xml:space="preserve">(V)</w:t>
            </w:r>
          </w:p>
        </w:tc>
        <w:tc>
          <w:p>
            <w:pPr>
              <w:pStyle w:val="Compact"/>
              <w:jc w:val="left"/>
            </w:pPr>
            <w:r>
              <w:t xml:space="preserve">1.072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1.118</w:t>
            </w:r>
          </w:p>
        </w:tc>
        <w:tc>
          <w:p>
            <w:pPr>
              <w:pStyle w:val="Compact"/>
              <w:jc w:val="left"/>
            </w:pPr>
            <w:r>
              <w:t xml:space="preserve">1.168</w:t>
            </w:r>
          </w:p>
        </w:tc>
        <w:tc>
          <w:p>
            <w:pPr>
              <w:pStyle w:val="Compact"/>
              <w:jc w:val="left"/>
            </w:pPr>
            <w:r>
              <w:t xml:space="preserve">−50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</w:t>
            </w:r>
            <w:r>
              <w:rPr>
                <w:vertAlign w:val="subscript"/>
              </w:rPr>
              <w:t xml:space="preserve">sc</w:t>
            </w:r>
            <w:r>
              <w:t xml:space="preserve"> </w:t>
            </w:r>
            <w:r>
              <w:t xml:space="preserve">(mA/cm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25.73</w:t>
            </w:r>
          </w:p>
        </w:tc>
        <w:tc>
          <w:p>
            <w:pPr>
              <w:pStyle w:val="Compact"/>
              <w:jc w:val="left"/>
            </w:pPr>
            <w:r>
              <w:t xml:space="preserve">25.70</w:t>
            </w:r>
          </w:p>
        </w:tc>
        <w:tc>
          <w:p>
            <w:pPr>
              <w:pStyle w:val="Compact"/>
              <w:jc w:val="left"/>
            </w:pPr>
            <w:r>
              <w:t xml:space="preserve">26.28</w:t>
            </w:r>
          </w:p>
        </w:tc>
        <w:tc>
          <w:p>
            <w:pPr>
              <w:pStyle w:val="Compact"/>
              <w:jc w:val="left"/>
            </w:pPr>
            <w:r>
              <w:t xml:space="preserve">−2 %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 (%)</w:t>
            </w:r>
          </w:p>
        </w:tc>
        <w:tc>
          <w:p>
            <w:pPr>
              <w:pStyle w:val="Compact"/>
              <w:jc w:val="left"/>
            </w:pPr>
            <w:r>
              <w:t xml:space="preserve">85.6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87.9</w:t>
            </w:r>
          </w:p>
        </w:tc>
        <w:tc>
          <w:p>
            <w:pPr>
              <w:pStyle w:val="Compact"/>
              <w:jc w:val="left"/>
            </w:pPr>
            <w:r>
              <w:t xml:space="preserve">87.0</w:t>
            </w:r>
          </w:p>
        </w:tc>
        <w:tc>
          <w:p>
            <w:pPr>
              <w:pStyle w:val="Compact"/>
              <w:jc w:val="left"/>
            </w:pPr>
            <w:r>
              <w:t xml:space="preserve">+0.9 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PCE (%)</w:t>
            </w:r>
          </w:p>
        </w:tc>
        <w:tc>
          <w:p>
            <w:pPr>
              <w:pStyle w:val="Compact"/>
              <w:jc w:val="left"/>
            </w:pPr>
            <w:r>
              <w:t xml:space="preserve">23.6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25.26</w:t>
            </w:r>
          </w:p>
        </w:tc>
        <w:tc>
          <w:p>
            <w:pPr>
              <w:pStyle w:val="Compact"/>
              <w:jc w:val="left"/>
            </w:pPr>
            <w:r>
              <w:t xml:space="preserve">26.69</w:t>
            </w:r>
          </w:p>
        </w:tc>
        <w:tc>
          <w:p>
            <w:pPr>
              <w:pStyle w:val="Compact"/>
              <w:jc w:val="left"/>
            </w:pPr>
            <w:r>
              <w:t xml:space="preserve">−1.4 pp</w:t>
            </w:r>
          </w:p>
        </w:tc>
      </w:tr>
    </w:tbl>
    <w:p>
      <w:pPr>
        <w:pStyle w:val="BodyText"/>
      </w:pPr>
      <w:r>
        <w:t xml:space="preserve">Table 1. Base operating-point comparison on the partner Base Model (faithful-default history).</w:t>
      </w:r>
    </w:p>
    <w:p>
      <w:pPr>
        <w:pStyle w:val="BodyText"/>
      </w:pPr>
      <w:r>
        <w:rPr>
          <w:bCs/>
          <w:b/>
        </w:rPr>
        <w:t xml:space="preserve">Four-config comparison (2026-06-22).</w:t>
      </w:r>
      <w:r>
        <w:t xml:space="preserve"> </w:t>
      </w:r>
      <w:r>
        <w:t xml:space="preserve">Table 1c is the base operating point for the three SolarLab configurations compared in this revision against SCAPS: the two transient de-spike fractions (f = 0.53, 0.66) and the</w:t>
      </w:r>
      <w:r>
        <w:t xml:space="preserve"> </w:t>
      </w:r>
      <w:r>
        <w:rPr>
          <w:bCs/>
          <w:b/>
        </w:rPr>
        <w:t xml:space="preserve">steady-state interface-plane-states</w:t>
      </w:r>
      <w:r>
        <w:t xml:space="preserve"> </w:t>
      </w:r>
      <w:r>
        <w:t xml:space="preserve">driver with the calibrated per-interface channel (</w:t>
      </w:r>
      <w:r>
        <w:rPr>
          <w:rStyle w:val="VerbatimChar"/>
        </w:rPr>
        <w:t xml:space="preserve">iface_state_calibration_factor</w:t>
      </w:r>
      <w:r>
        <w:t xml:space="preserve"> </w:t>
      </w:r>
      <w:r>
        <w:t xml:space="preserve">= 0.02 HTL/PVK, 0.10 PVK/ETL; Section 5.3).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f=0.53</w:t>
            </w:r>
          </w:p>
        </w:tc>
        <w:tc>
          <w:p>
            <w:pPr>
              <w:pStyle w:val="Compact"/>
              <w:jc w:val="left"/>
            </w:pPr>
            <w:r>
              <w:t xml:space="preserve">f=0.66</w:t>
            </w:r>
          </w:p>
        </w:tc>
        <w:tc>
          <w:p>
            <w:pPr>
              <w:pStyle w:val="Compact"/>
              <w:jc w:val="left"/>
            </w:pPr>
            <w:r>
              <w:t xml:space="preserve">SS interface-states</w:t>
            </w:r>
          </w:p>
        </w:tc>
        <w:tc>
          <w:p>
            <w:pPr>
              <w:pStyle w:val="Compact"/>
              <w:jc w:val="left"/>
            </w:pPr>
            <w:r>
              <w:t xml:space="preserve">SCAPS</w:t>
            </w:r>
          </w:p>
        </w:tc>
        <w:tc>
          <w:p>
            <w:pPr>
              <w:pStyle w:val="Compact"/>
              <w:jc w:val="left"/>
            </w:pPr>
            <w:r>
              <w:t xml:space="preserve">diff(SS)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</w:t>
            </w:r>
            <w:r>
              <w:rPr>
                <w:vertAlign w:val="subscript"/>
              </w:rPr>
              <w:t xml:space="preserve">oc</w:t>
            </w:r>
            <w:r>
              <w:t xml:space="preserve"> </w:t>
            </w:r>
            <w:r>
              <w:t xml:space="preserve">(V)</w:t>
            </w:r>
          </w:p>
        </w:tc>
        <w:tc>
          <w:p>
            <w:pPr>
              <w:pStyle w:val="Compact"/>
              <w:jc w:val="left"/>
            </w:pPr>
            <w:r>
              <w:t xml:space="preserve">1.1638</w:t>
            </w:r>
          </w:p>
        </w:tc>
        <w:tc>
          <w:p>
            <w:pPr>
              <w:pStyle w:val="Compact"/>
              <w:jc w:val="left"/>
            </w:pPr>
            <w:r>
              <w:t xml:space="preserve">1.1809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1.1675</w:t>
            </w:r>
          </w:p>
        </w:tc>
        <w:tc>
          <w:p>
            <w:pPr>
              <w:pStyle w:val="Compact"/>
              <w:jc w:val="left"/>
            </w:pPr>
            <w:r>
              <w:t xml:space="preserve">1.1676</w:t>
            </w:r>
          </w:p>
        </w:tc>
        <w:tc>
          <w:p>
            <w:pPr>
              <w:pStyle w:val="Compact"/>
              <w:jc w:val="left"/>
            </w:pPr>
            <w:r>
              <w:t xml:space="preserve">-0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</w:t>
            </w:r>
            <w:r>
              <w:rPr>
                <w:vertAlign w:val="subscript"/>
              </w:rPr>
              <w:t xml:space="preserve">sc</w:t>
            </w:r>
            <w:r>
              <w:t xml:space="preserve"> </w:t>
            </w:r>
            <w:r>
              <w:t xml:space="preserve">(mA/cm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25.72</w:t>
            </w:r>
          </w:p>
        </w:tc>
        <w:tc>
          <w:p>
            <w:pPr>
              <w:pStyle w:val="Compact"/>
              <w:jc w:val="left"/>
            </w:pPr>
            <w:r>
              <w:t xml:space="preserve">25.72</w:t>
            </w:r>
          </w:p>
        </w:tc>
        <w:tc>
          <w:p>
            <w:pPr>
              <w:pStyle w:val="Compact"/>
              <w:jc w:val="left"/>
            </w:pPr>
            <w:r>
              <w:t xml:space="preserve">25.72</w:t>
            </w:r>
          </w:p>
        </w:tc>
        <w:tc>
          <w:p>
            <w:pPr>
              <w:pStyle w:val="Compact"/>
              <w:jc w:val="left"/>
            </w:pPr>
            <w:r>
              <w:t xml:space="preserve">26.28</w:t>
            </w:r>
          </w:p>
        </w:tc>
        <w:tc>
          <w:p>
            <w:pPr>
              <w:pStyle w:val="Compact"/>
              <w:jc w:val="left"/>
            </w:pPr>
            <w:r>
              <w:t xml:space="preserve">-0.56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 (%)</w:t>
            </w:r>
          </w:p>
        </w:tc>
        <w:tc>
          <w:p>
            <w:pPr>
              <w:pStyle w:val="Compact"/>
              <w:jc w:val="left"/>
            </w:pPr>
            <w:r>
              <w:t xml:space="preserve">87.32</w:t>
            </w:r>
          </w:p>
        </w:tc>
        <w:tc>
          <w:p>
            <w:pPr>
              <w:pStyle w:val="Compact"/>
              <w:jc w:val="left"/>
            </w:pPr>
            <w:r>
              <w:t xml:space="preserve">86.96</w:t>
            </w:r>
          </w:p>
        </w:tc>
        <w:tc>
          <w:p>
            <w:pPr>
              <w:pStyle w:val="Compact"/>
              <w:jc w:val="left"/>
            </w:pPr>
            <w:r>
              <w:t xml:space="preserve">88.76</w:t>
            </w:r>
          </w:p>
        </w:tc>
        <w:tc>
          <w:p>
            <w:pPr>
              <w:pStyle w:val="Compact"/>
              <w:jc w:val="left"/>
            </w:pPr>
            <w:r>
              <w:t xml:space="preserve">86.99</w:t>
            </w:r>
          </w:p>
        </w:tc>
        <w:tc>
          <w:p>
            <w:pPr>
              <w:pStyle w:val="Compact"/>
              <w:jc w:val="left"/>
            </w:pPr>
            <w:r>
              <w:t xml:space="preserve">+1.77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PCE (%)</w:t>
            </w:r>
          </w:p>
        </w:tc>
        <w:tc>
          <w:p>
            <w:pPr>
              <w:pStyle w:val="Compact"/>
              <w:jc w:val="left"/>
            </w:pPr>
            <w:r>
              <w:t xml:space="preserve">26.14</w:t>
            </w:r>
          </w:p>
        </w:tc>
        <w:tc>
          <w:p>
            <w:pPr>
              <w:pStyle w:val="Compact"/>
              <w:jc w:val="left"/>
            </w:pPr>
            <w:r>
              <w:t xml:space="preserve">26.41</w:t>
            </w:r>
          </w:p>
        </w:tc>
        <w:tc>
          <w:p>
            <w:pPr>
              <w:pStyle w:val="Compact"/>
              <w:jc w:val="left"/>
            </w:pPr>
            <w:r>
              <w:t xml:space="preserve">26.52</w:t>
            </w:r>
          </w:p>
        </w:tc>
        <w:tc>
          <w:p>
            <w:pPr>
              <w:pStyle w:val="Compact"/>
              <w:jc w:val="left"/>
            </w:pPr>
            <w:r>
              <w:t xml:space="preserve">26.69</w:t>
            </w:r>
          </w:p>
        </w:tc>
        <w:tc>
          <w:p>
            <w:pPr>
              <w:pStyle w:val="Compact"/>
              <w:jc w:val="left"/>
            </w:pPr>
            <w:r>
              <w:t xml:space="preserve">-0.17</w:t>
            </w:r>
          </w:p>
        </w:tc>
      </w:tr>
    </w:tbl>
    <w:p>
      <w:pPr>
        <w:pStyle w:val="BodyText"/>
      </w:pPr>
      <w:r>
        <w:t xml:space="preserve">Table 1c. Base operating point, four configurations. The SS driver with the calibrated interface channel lands V</w:t>
      </w:r>
      <w:r>
        <w:rPr>
          <w:vertAlign w:val="subscript"/>
        </w:rPr>
        <w:t xml:space="preserve">oc</w:t>
      </w:r>
      <w:r>
        <w:t xml:space="preserve"> </w:t>
      </w:r>
      <w:r>
        <w:t xml:space="preserve">on SCAPS to -0 mV (the calibration target). The SS J</w:t>
      </w:r>
      <w:r>
        <w:rPr>
          <w:vertAlign w:val="subscript"/>
        </w:rPr>
        <w:t xml:space="preserve">sc</w:t>
      </w:r>
      <w:r>
        <w:t xml:space="preserve"> </w:t>
      </w:r>
      <w:r>
        <w:t xml:space="preserve">matches the transient value (optics-set).</w:t>
      </w:r>
    </w:p>
    <w:p>
      <w:pPr>
        <w:pStyle w:val="BodyText"/>
      </w:pPr>
      <w:r>
        <w:t xml:space="preserve">The previous −96 mV V</w:t>
      </w:r>
      <w:r>
        <w:rPr>
          <w:vertAlign w:val="subscript"/>
        </w:rPr>
        <w:t xml:space="preserve">oc</w:t>
      </w:r>
      <w:r>
        <w:t xml:space="preserve"> </w:t>
      </w:r>
      <w:r>
        <w:t xml:space="preserve">shortfall decomposed into a 10–16 mV grid artifact, a</w:t>
      </w:r>
      <w:r>
        <w:t xml:space="preserve"> </w:t>
      </w:r>
      <w:r>
        <w:t xml:space="preserve">137 mV transport-discretisation omission, and compensating model differences;</w:t>
      </w:r>
      <w:r>
        <w:t xml:space="preserve"> </w:t>
      </w:r>
      <w:r>
        <w:t xml:space="preserve">with both fixes the residual is −50 mV, attributed to the interface</w:t>
      </w:r>
      <w:r>
        <w:t xml:space="preserve"> </w:t>
      </w:r>
      <w:r>
        <w:t xml:space="preserve">recombination channel (Section 5). The fill factor now matches SCAPS within a</w:t>
      </w:r>
      <w:r>
        <w:t xml:space="preserve"> </w:t>
      </w:r>
      <w:r>
        <w:t xml:space="preserve">point; the −2 % J</w:t>
      </w:r>
      <w:r>
        <w:rPr>
          <w:vertAlign w:val="subscript"/>
        </w:rPr>
        <w:t xml:space="preserve">sc</w:t>
      </w:r>
      <w:r>
        <w:t xml:space="preserve"> </w:t>
      </w:r>
      <w:r>
        <w:t xml:space="preserve">residual is the physical front-surface reflection that</w:t>
      </w:r>
      <w:r>
        <w:t xml:space="preserve"> </w:t>
      </w:r>
      <w:r>
        <w:t xml:space="preserve">SCAPS idealises away. The remaining PCE gap is the product of the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and</w:t>
      </w:r>
      <w:r>
        <w:t xml:space="preserve"> </w:t>
      </w:r>
      <w:r>
        <w:t xml:space="preserve">J</w:t>
      </w:r>
      <w:r>
        <w:rPr>
          <w:vertAlign w:val="subscript"/>
        </w:rPr>
        <w:t xml:space="preserve">sc</w:t>
      </w:r>
      <w:r>
        <w:t xml:space="preserve"> </w:t>
      </w:r>
      <w:r>
        <w:t xml:space="preserve">residuals.</w:t>
      </w:r>
    </w:p>
    <w:bookmarkEnd w:id="23"/>
    <w:bookmarkStart w:id="37" w:name="X0e29db1e3e01baefd242f092c8010f6f1cd3e16"/>
    <w:p>
      <w:pPr>
        <w:pStyle w:val="Heading1"/>
      </w:pPr>
      <w:r>
        <w:t xml:space="preserve">4. Sweep-by-sweep comparison: transient f=0.53 / f=0.66 / SS interface-states</w:t>
      </w:r>
    </w:p>
    <w:p>
      <w:pPr>
        <w:pStyle w:val="FirstParagraph"/>
      </w:pPr>
      <w:r>
        <w:t xml:space="preserve">Each of the eleven sweeps is a four-panel overlay (V</w:t>
      </w:r>
      <w:r>
        <w:rPr>
          <w:vertAlign w:val="subscript"/>
        </w:rPr>
        <w:t xml:space="preserve">oc</w:t>
      </w:r>
      <w:r>
        <w:t xml:space="preserve"> </w:t>
      </w:r>
      <w:r>
        <w:t xml:space="preserve">/ J</w:t>
      </w:r>
      <w:r>
        <w:rPr>
          <w:vertAlign w:val="subscript"/>
        </w:rPr>
        <w:t xml:space="preserve">sc</w:t>
      </w:r>
      <w:r>
        <w:t xml:space="preserve"> </w:t>
      </w:r>
      <w:r>
        <w:t xml:space="preserve">/ FF / PCE). Four configurations are compared: SCAPS (red, dashed), the two transient de-spike fractions</w:t>
      </w:r>
      <w:r>
        <w:t xml:space="preserve"> </w:t>
      </w:r>
      <w:r>
        <w:rPr>
          <w:bCs/>
          <w:b/>
        </w:rPr>
        <w:t xml:space="preserve">f = 0.53</w:t>
      </w:r>
      <w:r>
        <w:t xml:space="preserve"> </w:t>
      </w:r>
      <w:r>
        <w:t xml:space="preserve">(blue) and</w:t>
      </w:r>
      <w:r>
        <w:t xml:space="preserve"> </w:t>
      </w:r>
      <w:r>
        <w:rPr>
          <w:bCs/>
          <w:b/>
        </w:rPr>
        <w:t xml:space="preserve">f = 0.66</w:t>
      </w:r>
      <w:r>
        <w:t xml:space="preserve"> </w:t>
      </w:r>
      <w:r>
        <w:t xml:space="preserve">(green), and the</w:t>
      </w:r>
      <w:r>
        <w:t xml:space="preserve"> </w:t>
      </w:r>
      <w:r>
        <w:rPr>
          <w:bCs/>
          <w:b/>
        </w:rPr>
        <w:t xml:space="preserve">steady-state interface-plane-states</w:t>
      </w:r>
      <w:r>
        <w:t xml:space="preserve"> </w:t>
      </w:r>
      <w:r>
        <w:t xml:space="preserve">driver (purple, calibrated interface channel). All four carry the full set of figures of merit at every sweep point: the SS</w:t>
      </w:r>
      <w:r>
        <w:t xml:space="preserve"> </w:t>
      </w:r>
      <w:r>
        <w:rPr>
          <w:bCs/>
          <w:b/>
        </w:rPr>
        <w:t xml:space="preserve">V</w:t>
      </w:r>
      <w:r>
        <w:rPr>
          <w:vertAlign w:val="subscript"/>
          <w:bCs/>
          <w:b/>
        </w:rPr>
        <w:t xml:space="preserve">oc</w:t>
      </w:r>
      <w:r>
        <w:t xml:space="preserve"> </w:t>
      </w:r>
      <w:r>
        <w:t xml:space="preserve">is a direct J=0 bisection (</w:t>
      </w:r>
      <w:r>
        <w:rPr>
          <w:rStyle w:val="VerbatimChar"/>
        </w:rPr>
        <w:t xml:space="preserve">solve_voc_ss</w:t>
      </w:r>
      <w:r>
        <w:t xml:space="preserve">), and the SS</w:t>
      </w:r>
      <w:r>
        <w:t xml:space="preserve"> </w:t>
      </w:r>
      <w:r>
        <w:rPr>
          <w:bCs/>
          <w:b/>
        </w:rPr>
        <w:t xml:space="preserve">J</w:t>
      </w:r>
      <w:r>
        <w:rPr>
          <w:vertAlign w:val="subscript"/>
          <w:bCs/>
          <w:b/>
        </w:rPr>
        <w:t xml:space="preserve">sc</w:t>
      </w:r>
      <w:r>
        <w:rPr>
          <w:bCs/>
          <w:b/>
        </w:rPr>
        <w:t xml:space="preserve"> </w:t>
      </w:r>
      <w:r>
        <w:rPr>
          <w:bCs/>
          <w:b/>
        </w:rPr>
        <w:t xml:space="preserve">/ FF / PCE</w:t>
      </w:r>
      <w:r>
        <w:t xml:space="preserve"> </w:t>
      </w:r>
      <w:r>
        <w:t xml:space="preserve">come from a steady-state J-V continuation (</w:t>
      </w:r>
      <w:r>
        <w:rPr>
          <w:rStyle w:val="VerbatimChar"/>
        </w:rPr>
        <w:t xml:space="preserve">run_jv_sweep_ss</w:t>
      </w:r>
      <w:r>
        <w:t xml:space="preserve">) run to just past each point’s V</w:t>
      </w:r>
      <w:r>
        <w:rPr>
          <w:vertAlign w:val="subscript"/>
        </w:rPr>
        <w:t xml:space="preserve">oc</w:t>
      </w:r>
      <w:r>
        <w:t xml:space="preserve"> </w:t>
      </w:r>
      <w:r>
        <w:t xml:space="preserve">(continuing into deep forward injection, V &gt;&gt; V</w:t>
      </w:r>
      <w:r>
        <w:rPr>
          <w:vertAlign w:val="subscript"/>
        </w:rPr>
        <w:t xml:space="preserve">oc</w:t>
      </w:r>
      <w:r>
        <w:t xml:space="preserve">, was the sole cause of the earlier non-convergence — bounding V</w:t>
      </w:r>
      <w:r>
        <w:rPr>
          <w:vertAlign w:val="subscript"/>
        </w:rPr>
        <w:t xml:space="preserve">max</w:t>
      </w:r>
      <w:r>
        <w:t xml:space="preserve"> </w:t>
      </w:r>
      <w:r>
        <w:t xml:space="preserve">to V</w:t>
      </w:r>
      <w:r>
        <w:rPr>
          <w:vertAlign w:val="subscript"/>
        </w:rPr>
        <w:t xml:space="preserve">oc</w:t>
      </w:r>
      <w:r>
        <w:t xml:space="preserve"> </w:t>
      </w:r>
      <w:r>
        <w:t xml:space="preserve">+ 40 mV makes the full-FOM SS curve fast and complete). Grey open markers are degenerate points excluded by the detailed-balance-ceiling guard. The per-sweep V</w:t>
      </w:r>
      <w:r>
        <w:rPr>
          <w:vertAlign w:val="subscript"/>
        </w:rPr>
        <w:t xml:space="preserve">oc</w:t>
      </w:r>
      <w:r>
        <w:t xml:space="preserve"> </w:t>
      </w:r>
      <w:r>
        <w:t xml:space="preserve">scorecard is Table 2. (The CBO sweep, Figure 1, now carries SS over the full range: a genuine flat-band solve, FILLED diamonds, plus a certified transient fallback over the deep-CBO arm, HOLLOW diamonds — see its caption.)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ETL/PVK conduction-band offset (\Delta E_C). Filled purple diamonds are the genuine SS interface-states solve over the flat-band region (\Delta E_C \geq -0.16 eV); hollow diamonds are the certified transient fallback over the deep-CBO arm (\Delta E_C \leq -0.2 eV), where the collapsed junction is unreachable by the SS Newton. The SS curve sits on the transient throughout — CBO is a band-offset effect, so SS \approx the transient (not interface-limited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CHI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ETL/PVK conduction-band offset (</w:t>
      </w:r>
      <m:oMath>
        <m:r>
          <m:t>Δ</m:t>
        </m:r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). Filled purple diamonds are the genuine SS interface-states solve over the flat-band region (</w:t>
      </w:r>
      <m:oMath>
        <m:r>
          <m:t>Δ</m:t>
        </m:r>
        <m:sSub>
          <m:e>
            <m:r>
              <m:t>E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−</m:t>
        </m:r>
        <m:r>
          <m:t>0.16</m:t>
        </m:r>
      </m:oMath>
      <w:r>
        <w:t xml:space="preserve"> </w:t>
      </w:r>
      <w:r>
        <w:t xml:space="preserve">eV); hollow diamonds are the certified transient fallback over the deep-CBO arm (</w:t>
      </w:r>
      <m:oMath>
        <m:r>
          <m:t>Δ</m:t>
        </m:r>
        <m:sSub>
          <m:e>
            <m:r>
              <m:t>E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eV), where the collapsed junction is unreachable by the SS Newton. The SS curve sits on the transient throughout — CBO is a band-offset effect, so SS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the transient (not interface-limited).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ETL donor doping (ND). The transient curves are U-shaped (direction mismatch); the SS interface-states Voc rises with doping, matching the SCAPS direction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Nd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ETL donor doping (N</w:t>
      </w:r>
      <w:r>
        <w:rPr>
          <w:vertAlign w:val="subscript"/>
        </w:rPr>
        <w:t xml:space="preserve">D</w:t>
      </w:r>
      <w:r>
        <w:t xml:space="preserve">). The transient curves are U-shaped (direction mismatch); the SS interface-states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rises with doping, matching the SCAPS direction.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PVK donor doping (ND,PVK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Nd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PVK donor doping (N</w:t>
      </w:r>
      <w:r>
        <w:rPr>
          <w:vertAlign w:val="subscript"/>
        </w:rPr>
        <w:t xml:space="preserve">D,PVK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Perovskite-CB bulk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Nt_C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Perovskite-CB bulk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Perovskite-VB bulk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Nt_V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Perovskite-VB bulk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HTL/PVK interface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Nt_HTL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HTL/PVK interface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PVK/ETL interface defect density (N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Nt_PVK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PVK/ETL interface defect density (N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Perovskite-CB bulk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Et_C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Perovskite-CB bulk defect level (E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Perovskite-VB bulk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Et_V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Perovskite-VB bulk defect level (E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HTL/PVK interface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Et_HTL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HTL/PVK interface defect level (E</w:t>
      </w:r>
      <w:r>
        <w:rPr>
          <w:vertAlign w:val="subscript"/>
        </w:rPr>
        <w:t xml:space="preserve">t</w:t>
      </w:r>
      <w:r>
        <w:t xml:space="preserve">).</w:t>
      </w:r>
    </w:p>
    <w:p>
      <w:pPr>
        <w:pStyle w:val="CaptionedFigure"/>
      </w:pPr>
      <w:r>
        <w:drawing>
          <wp:inline>
            <wp:extent cx="5334000" cy="3481136"/>
            <wp:effectExtent b="0" l="0" r="0" t="0"/>
            <wp:docPr descr="PVK/ETL interface defect level (Et)." title="" id="1" name="Picture"/>
            <a:graphic>
              <a:graphicData uri="http://schemas.openxmlformats.org/drawingml/2006/picture">
                <pic:pic>
                  <pic:nvPicPr>
                    <pic:cNvPr descr="../figures/scaps_ss_compare/sweep_Et_PVK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PVK/ETL interface defect level (E</w:t>
      </w:r>
      <w:r>
        <w:rPr>
          <w:vertAlign w:val="subscript"/>
        </w:rPr>
        <w:t xml:space="preserve">t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t xml:space="preserve">SCAPS range (mV)</w:t>
            </w:r>
          </w:p>
        </w:tc>
        <w:tc>
          <w:p>
            <w:pPr>
              <w:pStyle w:val="Compact"/>
              <w:jc w:val="left"/>
            </w:pPr>
            <w:r>
              <w:t xml:space="preserve">f = 0.53</w:t>
            </w:r>
          </w:p>
        </w:tc>
        <w:tc>
          <w:p>
            <w:pPr>
              <w:pStyle w:val="Compact"/>
              <w:jc w:val="left"/>
            </w:pPr>
            <w:r>
              <w:t xml:space="preserve">f = 0.66</w:t>
            </w:r>
          </w:p>
        </w:tc>
        <w:tc>
          <w:p>
            <w:pPr>
              <w:pStyle w:val="Compact"/>
              <w:jc w:val="left"/>
            </w:pPr>
            <w:r>
              <w:t xml:space="preserve">SS states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ETL/PVK conduction-band offset</w:t>
            </w:r>
          </w:p>
        </w:tc>
        <w:tc>
          <w:p>
            <w:pPr>
              <w:pStyle w:val="Compact"/>
              <w:jc w:val="left"/>
            </w:pPr>
            <w:r>
              <w:t xml:space="preserve">918.0</w:t>
            </w:r>
          </w:p>
        </w:tc>
        <w:tc>
          <w:p>
            <w:pPr>
              <w:pStyle w:val="Compact"/>
              <w:jc w:val="left"/>
            </w:pPr>
            <w:r>
              <w:t xml:space="preserve">85% ok</w:t>
            </w:r>
          </w:p>
        </w:tc>
        <w:tc>
          <w:p>
            <w:pPr>
              <w:pStyle w:val="Compact"/>
              <w:jc w:val="left"/>
            </w:pPr>
            <w:r>
              <w:t xml:space="preserve">88% ok</w:t>
            </w:r>
          </w:p>
        </w:tc>
        <w:tc>
          <w:p>
            <w:pPr>
              <w:pStyle w:val="Compact"/>
              <w:jc w:val="left"/>
            </w:pPr>
            <w:r>
              <w:t xml:space="preserve">86% ok (8 SS + 6 fb)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ETL donor doping</w:t>
            </w:r>
          </w:p>
        </w:tc>
        <w:tc>
          <w:p>
            <w:pPr>
              <w:pStyle w:val="Compact"/>
              <w:jc w:val="left"/>
            </w:pPr>
            <w:r>
              <w:t xml:space="preserve">137.1</w:t>
            </w:r>
          </w:p>
        </w:tc>
        <w:tc>
          <w:p>
            <w:pPr>
              <w:pStyle w:val="Compact"/>
              <w:jc w:val="left"/>
            </w:pPr>
            <w:r>
              <w:t xml:space="preserve">18% MISMATCH</w:t>
            </w:r>
          </w:p>
        </w:tc>
        <w:tc>
          <w:p>
            <w:pPr>
              <w:pStyle w:val="Compact"/>
              <w:jc w:val="left"/>
            </w:pPr>
            <w:r>
              <w:t xml:space="preserve">23% MISMATCH</w:t>
            </w:r>
          </w:p>
        </w:tc>
        <w:tc>
          <w:p>
            <w:pPr>
              <w:pStyle w:val="Compact"/>
              <w:jc w:val="left"/>
            </w:pPr>
            <w:r>
              <w:t xml:space="preserve">189%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PVK donor doping</w:t>
            </w:r>
          </w:p>
        </w:tc>
        <w:tc>
          <w:p>
            <w:pPr>
              <w:pStyle w:val="Compact"/>
              <w:jc w:val="left"/>
            </w:pPr>
            <w:r>
              <w:t xml:space="preserve">34.0</w:t>
            </w:r>
          </w:p>
        </w:tc>
        <w:tc>
          <w:p>
            <w:pPr>
              <w:pStyle w:val="Compact"/>
              <w:jc w:val="left"/>
            </w:pPr>
            <w:r>
              <w:t xml:space="preserve">17% ok</w:t>
            </w:r>
          </w:p>
        </w:tc>
        <w:tc>
          <w:p>
            <w:pPr>
              <w:pStyle w:val="Compact"/>
              <w:jc w:val="left"/>
            </w:pPr>
            <w:r>
              <w:t xml:space="preserve">29% MISMATCH</w:t>
            </w:r>
          </w:p>
        </w:tc>
        <w:tc>
          <w:p>
            <w:pPr>
              <w:pStyle w:val="Compact"/>
              <w:jc w:val="left"/>
            </w:pPr>
            <w:r>
              <w:t xml:space="preserve">10%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Perovskite-CB bulk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38.6</w:t>
            </w:r>
          </w:p>
        </w:tc>
        <w:tc>
          <w:p>
            <w:pPr>
              <w:pStyle w:val="Compact"/>
              <w:jc w:val="left"/>
            </w:pPr>
            <w:r>
              <w:t xml:space="preserve">69% ok</w:t>
            </w:r>
          </w:p>
        </w:tc>
        <w:tc>
          <w:p>
            <w:pPr>
              <w:pStyle w:val="Compact"/>
              <w:jc w:val="left"/>
            </w:pPr>
            <w:r>
              <w:t xml:space="preserve">94% ok</w:t>
            </w:r>
          </w:p>
        </w:tc>
        <w:tc>
          <w:p>
            <w:pPr>
              <w:pStyle w:val="Compact"/>
              <w:jc w:val="left"/>
            </w:pPr>
            <w:r>
              <w:t xml:space="preserve">63%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Perovskite-VB bulk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10.8</w:t>
            </w:r>
          </w:p>
        </w:tc>
        <w:tc>
          <w:p>
            <w:pPr>
              <w:pStyle w:val="Compact"/>
              <w:jc w:val="left"/>
            </w:pPr>
            <w:r>
              <w:t xml:space="preserve">248% ok</w:t>
            </w:r>
          </w:p>
        </w:tc>
        <w:tc>
          <w:p>
            <w:pPr>
              <w:pStyle w:val="Compact"/>
              <w:jc w:val="left"/>
            </w:pPr>
            <w:r>
              <w:t xml:space="preserve">339% ok</w:t>
            </w:r>
          </w:p>
        </w:tc>
        <w:tc>
          <w:p>
            <w:pPr>
              <w:pStyle w:val="Compact"/>
              <w:jc w:val="left"/>
            </w:pPr>
            <w:r>
              <w:t xml:space="preserve">227%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HTL/PVK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0% MISMATCH</w:t>
            </w:r>
          </w:p>
        </w:tc>
        <w:tc>
          <w:p>
            <w:pPr>
              <w:pStyle w:val="Compact"/>
              <w:jc w:val="left"/>
            </w:pPr>
            <w:r>
              <w:t xml:space="preserve">0% MISMATCH</w:t>
            </w:r>
          </w:p>
        </w:tc>
        <w:tc>
          <w:p>
            <w:pPr>
              <w:pStyle w:val="Compact"/>
              <w:jc w:val="left"/>
            </w:pPr>
            <w:r>
              <w:t xml:space="preserve">101%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PVK/ETL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281.7</w:t>
            </w:r>
          </w:p>
        </w:tc>
        <w:tc>
          <w:p>
            <w:pPr>
              <w:pStyle w:val="Compact"/>
              <w:jc w:val="left"/>
            </w:pPr>
            <w:r>
              <w:t xml:space="preserve">72% ok</w:t>
            </w:r>
          </w:p>
        </w:tc>
        <w:tc>
          <w:p>
            <w:pPr>
              <w:pStyle w:val="Compact"/>
              <w:jc w:val="left"/>
            </w:pPr>
            <w:r>
              <w:t xml:space="preserve">80% ok</w:t>
            </w:r>
          </w:p>
        </w:tc>
        <w:tc>
          <w:p>
            <w:pPr>
              <w:pStyle w:val="Compact"/>
              <w:jc w:val="left"/>
            </w:pPr>
            <w:r>
              <w:t xml:space="preserve">63%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Perovskite-CB bulk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211% flat/flat</w:t>
            </w:r>
          </w:p>
        </w:tc>
        <w:tc>
          <w:p>
            <w:pPr>
              <w:pStyle w:val="Compact"/>
              <w:jc w:val="left"/>
            </w:pPr>
            <w:r>
              <w:t xml:space="preserve">427% ok</w:t>
            </w:r>
          </w:p>
        </w:tc>
        <w:tc>
          <w:p>
            <w:pPr>
              <w:pStyle w:val="Compact"/>
              <w:jc w:val="left"/>
            </w:pPr>
            <w:r>
              <w:t xml:space="preserve">228% flat/flat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Perovskite-VB bulk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210% flat/flat</w:t>
            </w:r>
          </w:p>
        </w:tc>
        <w:tc>
          <w:p>
            <w:pPr>
              <w:pStyle w:val="Compact"/>
              <w:jc w:val="left"/>
            </w:pPr>
            <w:r>
              <w:t xml:space="preserve">425% ok</w:t>
            </w:r>
          </w:p>
        </w:tc>
        <w:tc>
          <w:p>
            <w:pPr>
              <w:pStyle w:val="Compact"/>
              <w:jc w:val="left"/>
            </w:pPr>
            <w:r>
              <w:t xml:space="preserve">227% flat/flat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HTL/PVK interface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0% flat/flat</w:t>
            </w:r>
          </w:p>
        </w:tc>
        <w:tc>
          <w:p>
            <w:pPr>
              <w:pStyle w:val="Compact"/>
              <w:jc w:val="left"/>
            </w:pPr>
            <w:r>
              <w:t xml:space="preserve">0% flat/flat</w:t>
            </w:r>
          </w:p>
        </w:tc>
        <w:tc>
          <w:p>
            <w:pPr>
              <w:pStyle w:val="Compact"/>
              <w:jc w:val="left"/>
            </w:pPr>
            <w:r>
              <w:t xml:space="preserve">0% flat/flat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PVK/ETL interface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34.5</w:t>
            </w:r>
          </w:p>
        </w:tc>
        <w:tc>
          <w:p>
            <w:pPr>
              <w:pStyle w:val="Compact"/>
              <w:jc w:val="left"/>
            </w:pPr>
            <w:r>
              <w:t xml:space="preserve">23% ok</w:t>
            </w:r>
          </w:p>
        </w:tc>
        <w:tc>
          <w:p>
            <w:pPr>
              <w:pStyle w:val="Compact"/>
              <w:jc w:val="left"/>
            </w:pPr>
            <w:r>
              <w:t xml:space="preserve">49% ok</w:t>
            </w:r>
          </w:p>
        </w:tc>
        <w:tc>
          <w:p>
            <w:pPr>
              <w:pStyle w:val="Compact"/>
              <w:jc w:val="left"/>
            </w:pPr>
            <w:r>
              <w:t xml:space="preserve">36% ok</w:t>
            </w:r>
          </w:p>
        </w:tc>
      </w:tr>
    </w:tbl>
    <w:p>
      <w:pPr>
        <w:pStyle w:val="BodyText"/>
      </w:pPr>
      <w:r>
        <w:t xml:space="preserve">Table 2. Per-sweep V</w:t>
      </w:r>
      <w:r>
        <w:rPr>
          <w:vertAlign w:val="subscript"/>
        </w:rPr>
        <w:t xml:space="preserve">oc</w:t>
      </w:r>
      <w:r>
        <w:t xml:space="preserve"> </w:t>
      </w:r>
      <w:r>
        <w:t xml:space="preserve">scorecard. Closure % = SolarLab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range / SCAPS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range;</w:t>
      </w:r>
      <w:r>
        <w:t xml:space="preserve"> </w:t>
      </w:r>
      <w:r>
        <w:rPr>
          <w:iCs/>
          <w:i/>
        </w:rPr>
        <w:t xml:space="preserve">ok</w:t>
      </w:r>
      <w:r>
        <w:t xml:space="preserve"> </w:t>
      </w:r>
      <w:r>
        <w:t xml:space="preserve">= correct direction,</w:t>
      </w:r>
      <w:r>
        <w:t xml:space="preserve"> </w:t>
      </w:r>
      <w:r>
        <w:rPr>
          <w:iCs/>
          <w:i/>
        </w:rPr>
        <w:t xml:space="preserve">MISMATCH</w:t>
      </w:r>
      <w:r>
        <w:t xml:space="preserve"> </w:t>
      </w:r>
      <w:r>
        <w:t xml:space="preserve">= reversed,</w:t>
      </w:r>
      <w:r>
        <w:t xml:space="preserve"> </w:t>
      </w:r>
      <w:r>
        <w:rPr>
          <w:iCs/>
          <w:i/>
        </w:rPr>
        <w:t xml:space="preserve">flat/flat</w:t>
      </w:r>
      <w:r>
        <w:t xml:space="preserve"> </w:t>
      </w:r>
      <w:r>
        <w:t xml:space="preserve">= both solvers &lt; 1 mV. The SS-states column uses the calibrated interface channel.</w:t>
      </w:r>
    </w:p>
    <w:p>
      <w:pPr>
        <w:pStyle w:val="BodyText"/>
      </w:pPr>
      <w:r>
        <w:rPr>
          <w:bCs/>
          <w:b/>
        </w:rPr>
        <w:t xml:space="preserve">The steady-state interface-states series.</w:t>
      </w:r>
      <w:r>
        <w:t xml:space="preserve"> </w:t>
      </w:r>
      <w:r>
        <w:t xml:space="preserve">Two things distinguish it from the transient de-spike curves. (i)</w:t>
      </w:r>
      <w:r>
        <w:t xml:space="preserve"> </w:t>
      </w:r>
      <w:r>
        <w:rPr>
          <w:bCs/>
          <w:b/>
        </w:rPr>
        <w:t xml:space="preserve">Direction:</w:t>
      </w:r>
      <w:r>
        <w:t xml:space="preserve"> </w:t>
      </w:r>
      <w:r>
        <w:t xml:space="preserve">it recovers the ETL-donor-doping rising arm that both transient fractions get backwards (Section 4.1) — the only sweep no de-spike value can fix. (ii)</w:t>
      </w:r>
      <w:r>
        <w:t xml:space="preserve"> </w:t>
      </w:r>
      <w:r>
        <w:rPr>
          <w:bCs/>
          <w:b/>
        </w:rPr>
        <w:t xml:space="preserve">Calibration:</w:t>
      </w:r>
      <w:r>
        <w:t xml:space="preserve"> </w:t>
      </w:r>
      <w:r>
        <w:t xml:space="preserve">the interface-plane channel was over-strong (base -61 mV, Nd_ETL ~2x over, HTL/PVK N</w:t>
      </w:r>
      <w:r>
        <w:rPr>
          <w:vertAlign w:val="subscript"/>
        </w:rPr>
        <w:t xml:space="preserve">t</w:t>
      </w:r>
      <w:r>
        <w:t xml:space="preserve"> </w:t>
      </w:r>
      <w:r>
        <w:t xml:space="preserve">~12x over); a per-interface calibration (</w:t>
      </w:r>
      <w:r>
        <w:rPr>
          <w:rStyle w:val="VerbatimChar"/>
        </w:rPr>
        <w:t xml:space="preserve">iface_state_calibration_factor</w:t>
      </w:r>
      <w:r>
        <w:t xml:space="preserve"> </w:t>
      </w:r>
      <w:r>
        <w:t xml:space="preserve">0.02 HTL/PVK, 0.10 PVK/ETL; Section 5.3) brings the base to -0.1 mV, Nd_ETL to 0.84x, and HTL/PVK N</w:t>
      </w:r>
      <w:r>
        <w:rPr>
          <w:vertAlign w:val="subscript"/>
        </w:rPr>
        <w:t xml:space="preserve">t</w:t>
      </w:r>
      <w:r>
        <w:t xml:space="preserve"> </w:t>
      </w:r>
      <w:r>
        <w:t xml:space="preserve">to 1.0x of SCAPS while holding PVK/ETL N</w:t>
      </w:r>
      <w:r>
        <w:rPr>
          <w:vertAlign w:val="subscript"/>
        </w:rPr>
        <w:t xml:space="preserve">t</w:t>
      </w:r>
      <w:r>
        <w:t xml:space="preserve"> </w:t>
      </w:r>
      <w:r>
        <w:t xml:space="preserve">at 63 %, all directions matched. The transient f=0.53/0.66 trade-off (tighter magnitudes vs base overshoot + a reversed PVK-doping direction at f=0.66) is unchanged from the de-spike analysis.</w:t>
      </w:r>
    </w:p>
    <w:bookmarkStart w:id="36" w:name="X3805dee2080f577cb72dd2018fc584950c85025"/>
    <w:p>
      <w:pPr>
        <w:pStyle w:val="Heading2"/>
      </w:pPr>
      <w:r>
        <w:t xml:space="preserve">4.1 Recovering the ETL-doping direction with steady-state interface-states</w:t>
      </w:r>
    </w:p>
    <w:p>
      <w:pPr>
        <w:pStyle w:val="FirstParagraph"/>
      </w:pPr>
      <w:r>
        <w:t xml:space="preserve">The ETL donor-doping sweep is the one trend no de-spike fraction can fix</w:t>
      </w:r>
      <w:r>
        <w:t xml:space="preserve"> </w:t>
      </w:r>
      <w:r>
        <w:t xml:space="preserve">(Table 2, mismatched at both f): on the transient path SolarLab’s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is</w:t>
      </w:r>
      <w:r>
        <w:t xml:space="preserve"> </w:t>
      </w:r>
      <w:r>
        <w:t xml:space="preserve">U-shaped while SCAPS rises monotonically. The cause is structural, not a tuning</w:t>
      </w:r>
      <w:r>
        <w:t xml:space="preserve"> </w:t>
      </w:r>
      <w:r>
        <w:t xml:space="preserve">gap. SCAPS’s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rises because higher ETL doping raises the flat-band built-in</w:t>
      </w:r>
      <w:r>
        <w:t xml:space="preserve"> </w:t>
      </w:r>
      <w:r>
        <w:t xml:space="preserve">potential —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H</m:t>
            </m:r>
            <m:r>
              <m:t>T</m:t>
            </m:r>
            <m:r>
              <m:t>L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t>E</m:t>
            </m:r>
            <m:r>
              <m:t>T</m:t>
            </m:r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Φ</m:t>
            </m:r>
          </m:e>
          <m:sub>
            <m:r>
              <m:t>E</m:t>
            </m:r>
            <m:r>
              <m:t>T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χ</m:t>
            </m:r>
          </m:e>
          <m:sub>
            <m:r>
              <m:t>E</m:t>
            </m:r>
            <m:r>
              <m:t>T</m:t>
            </m:r>
            <m:r>
              <m:t>L</m:t>
            </m:r>
          </m:sub>
        </m:sSub>
        <m:r>
          <m:rPr>
            <m:sty m:val="p"/>
          </m:rPr>
          <m:t>+</m:t>
        </m:r>
        <m:r>
          <m:t>k</m:t>
        </m:r>
        <m:r>
          <m:t>T</m:t>
        </m:r>
        <m:r>
          <m:rPr>
            <m:nor/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t>T</m:t>
            </m:r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, so a larger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t>T</m:t>
            </m:r>
            <m:r>
              <m:t>L</m:t>
            </m:r>
          </m:sub>
        </m:sSub>
      </m:oMath>
      <w:r>
        <w:t xml:space="preserve"> </w:t>
      </w:r>
      <w:r>
        <w:t xml:space="preserve">shrinks</w:t>
      </w:r>
      <w:r>
        <w:t xml:space="preserve"> </w:t>
      </w:r>
      <m:oMath>
        <m:sSub>
          <m:e>
            <m:r>
              <m:t>Φ</m:t>
            </m:r>
          </m:e>
          <m:sub>
            <m:r>
              <m:t>E</m:t>
            </m:r>
            <m:r>
              <m:t>T</m:t>
            </m:r>
            <m:r>
              <m:t>L</m:t>
            </m:r>
          </m:sub>
        </m:sSub>
      </m:oMath>
      <w:r>
        <w:t xml:space="preserve"> </w:t>
      </w:r>
      <w:r>
        <w:t xml:space="preserve">and lifts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i</m:t>
            </m:r>
          </m:sub>
        </m:sSub>
      </m:oMath>
      <w:r>
        <w:t xml:space="preserve">. SolarLab’s</w:t>
      </w:r>
      <w:r>
        <w:t xml:space="preserve"> </w:t>
      </w:r>
      <w:r>
        <w:rPr>
          <w:iCs/>
          <w:i/>
        </w:rPr>
        <w:t xml:space="preserve">transient</w:t>
      </w:r>
      <w:r>
        <w:t xml:space="preserve"> </w:t>
      </w:r>
      <w:r>
        <w:t xml:space="preserve">Poisson boundary pins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i</m:t>
            </m:r>
          </m:sub>
        </m:sSub>
      </m:oMath>
      <w:r>
        <w:t xml:space="preserve"> </w:t>
      </w:r>
      <w:r>
        <w:t xml:space="preserve">at the YAML constant (1.30 V) regardless of doping, so that rise never</w:t>
      </w:r>
      <w:r>
        <w:t xml:space="preserve"> </w:t>
      </w:r>
      <w:r>
        <w:t xml:space="preserve">enters the solution; and the interface recombination is sampled at bulk grid</w:t>
      </w:r>
      <w:r>
        <w:t xml:space="preserve"> </w:t>
      </w:r>
      <w:r>
        <w:t xml:space="preserve">nodes where the band-offset pile-up swamps the doping-dependent ETL selectivity.</w:t>
      </w:r>
      <w:r>
        <w:t xml:space="preserve"> </w:t>
      </w:r>
      <w:r>
        <w:t xml:space="preserve">De-spike acts only on bulk Auger, so it cannot reach either mechanism.</w:t>
      </w:r>
    </w:p>
    <w:p>
      <w:pPr>
        <w:pStyle w:val="BodyText"/>
      </w:pPr>
      <w:r>
        <w:t xml:space="preserve">Routing the same sweep through the steady-state interface-plane-states driver</w:t>
      </w:r>
      <w:r>
        <w:t xml:space="preserve"> </w:t>
      </w:r>
      <w:r>
        <w:t xml:space="preserve">(</w:t>
      </w:r>
      <w:r>
        <w:rPr>
          <w:rStyle w:val="VerbatimChar"/>
        </w:rPr>
        <w:t xml:space="preserve">solve_voc_ss(iface_states=True)</w:t>
      </w:r>
      <w:r>
        <w:t xml:space="preserve">, which uses the doping-dependent flat-band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i</m:t>
            </m:r>
          </m:sub>
        </m:sSub>
      </m:oMath>
      <w:r>
        <w:t xml:space="preserve"> </w:t>
      </w:r>
      <w:r>
        <w:t xml:space="preserve">and live interface-plane carrier densities) recovers the SCAPS</w:t>
      </w:r>
      <w:r>
        <w:t xml:space="preserve"> </w:t>
      </w:r>
      <w:r>
        <w:t xml:space="preserve">direction: V</w:t>
      </w:r>
      <w:r>
        <w:rPr>
          <w:vertAlign w:val="subscript"/>
        </w:rPr>
        <w:t xml:space="preserve">oc</w:t>
      </w:r>
      <w:r>
        <w:t xml:space="preserve"> </w:t>
      </w:r>
      <w:r>
        <w:t xml:space="preserve">now rises monotonically with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t>T</m:t>
            </m:r>
            <m:r>
              <m:t>L</m:t>
            </m:r>
          </m:sub>
        </m:sSub>
      </m:oMath>
      <w:r>
        <w:t xml:space="preserve"> </w:t>
      </w:r>
      <w:r>
        <w:t xml:space="preserve">(0.979 -&gt; 1.171 V</w:t>
      </w:r>
      <w:r>
        <w:t xml:space="preserve"> </w:t>
      </w:r>
      <w:r>
        <w:t xml:space="preserve">across 10</w:t>
      </w:r>
      <w:r>
        <w:rPr>
          <w:vertAlign w:val="superscript"/>
        </w:rPr>
        <w:t xml:space="preserve">13</w:t>
      </w:r>
      <w:r>
        <w:t xml:space="preserve"> </w:t>
      </w:r>
      <w:r>
        <w:t xml:space="preserve">-&gt; 10</w:t>
      </w:r>
      <w:r>
        <w:rPr>
          <w:vertAlign w:val="superscript"/>
        </w:rPr>
        <w:t xml:space="preserve">20</w:t>
      </w:r>
      <w:r>
        <w:t xml:space="preserve"> </w:t>
      </w:r>
      <w:r>
        <w:t xml:space="preserve">cm</w:t>
      </w:r>
      <w:r>
        <w:rPr>
          <w:vertAlign w:val="superscript"/>
        </w:rPr>
        <w:t xml:space="preserve">-3</w:t>
      </w:r>
      <w:r>
        <w:t xml:space="preserve">, +192 mV; SCAPS +99 mV over the same arm). The</w:t>
      </w:r>
      <w:r>
        <w:t xml:space="preserve"> </w:t>
      </w:r>
      <w:r>
        <w:t xml:space="preserve">direction is correct — the campaign’s longest-standing mismatch resolved —</w:t>
      </w:r>
      <w:r>
        <w:t xml:space="preserve"> </w:t>
      </w:r>
      <w:r>
        <w:t xml:space="preserve">though the interface channel over-responds in magnitude and the absolute sits</w:t>
      </w:r>
      <w:r>
        <w:t xml:space="preserve"> </w:t>
      </w:r>
      <w:r>
        <w:t xml:space="preserve">~70-160 mV below SCAPS (its carrier-density calibration is the named residual).</w:t>
      </w:r>
      <w:r>
        <w:t xml:space="preserve"> </w:t>
      </w:r>
      <w:r>
        <w:t xml:space="preserve">The cost is ~0.5-12 min per V</w:t>
      </w:r>
      <w:r>
        <w:rPr>
          <w:vertAlign w:val="subscript"/>
        </w:rPr>
        <w:t xml:space="preserve">oc</w:t>
      </w:r>
      <w:r>
        <w:t xml:space="preserve"> </w:t>
      </w:r>
      <w:r>
        <w:t xml:space="preserve">point vs 7 s for the transient, which is why</w:t>
      </w:r>
      <w:r>
        <w:t xml:space="preserve"> </w:t>
      </w:r>
      <w:r>
        <w:t xml:space="preserve">the eleven-sweep figures above use the fast transient path.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ETL donor doping Voc: the transient de-spike curves (f=0.53 blue, f=0.66 green) are U-shaped — direction mismatch — while the steady-state interface-states driver (purple) rises monotonically with doping, matching the SCAPS direction. Magnitude over-responds and the absolute sits below SCAPS (the interface-channel calibration residual)." title="" id="1" name="Picture"/>
            <a:graphic>
              <a:graphicData uri="http://schemas.openxmlformats.org/drawingml/2006/picture">
                <pic:pic>
                  <pic:nvPicPr>
                    <pic:cNvPr descr="../figures/scaps_despike_compare/sweep_Nd_ETL_SS_vo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ETL donor doping V</w:t>
      </w:r>
      <w:r>
        <w:rPr>
          <w:vertAlign w:val="subscript"/>
        </w:rPr>
        <w:t xml:space="preserve">oc</w:t>
      </w:r>
      <w:r>
        <w:t xml:space="preserve">: the transient de-spike curves (f=0.53 blue, f=0.66</w:t>
      </w:r>
      <w:r>
        <w:t xml:space="preserve"> </w:t>
      </w:r>
      <w:r>
        <w:t xml:space="preserve">green) are U-shaped — direction mismatch — while the steady-state</w:t>
      </w:r>
      <w:r>
        <w:t xml:space="preserve"> </w:t>
      </w:r>
      <w:r>
        <w:t xml:space="preserve">interface-states driver (purple) rises monotonically with doping, matching the</w:t>
      </w:r>
      <w:r>
        <w:t xml:space="preserve"> </w:t>
      </w:r>
      <w:r>
        <w:t xml:space="preserve">SCAPS direction. Magnitude over-responds and the absolute sits below SCAPS (the</w:t>
      </w:r>
      <w:r>
        <w:t xml:space="preserve"> </w:t>
      </w:r>
      <w:r>
        <w:t xml:space="preserve">interface-channel calibration residual).</w:t>
      </w:r>
    </w:p>
    <w:bookmarkEnd w:id="36"/>
    <w:bookmarkEnd w:id="37"/>
    <w:bookmarkStart w:id="41" w:name="analysis"/>
    <w:p>
      <w:pPr>
        <w:pStyle w:val="Heading1"/>
      </w:pPr>
      <w:r>
        <w:t xml:space="preserve">5. Analysis</w:t>
      </w:r>
    </w:p>
    <w:p>
      <w:pPr>
        <w:pStyle w:val="FirstParagraph"/>
      </w:pPr>
      <w:r>
        <w:rPr>
          <w:bCs/>
          <w:b/>
        </w:rPr>
        <w:t xml:space="preserve">The resolved item: the base V</w:t>
      </w:r>
      <w:r>
        <w:rPr>
          <w:vertAlign w:val="subscript"/>
          <w:bCs/>
          <w:b/>
        </w:rPr>
        <w:t xml:space="preserve">oc</w:t>
      </w:r>
      <w:r>
        <w:rPr>
          <w:bCs/>
          <w:b/>
        </w:rPr>
        <w:t xml:space="preserve"> </w:t>
      </w:r>
      <w:r>
        <w:rPr>
          <w:bCs/>
          <w:b/>
        </w:rPr>
        <w:t xml:space="preserve">root cause.</w:t>
      </w:r>
      <w:r>
        <w:t xml:space="preserve"> </w:t>
      </w:r>
      <w:r>
        <w:t xml:space="preserve">The 2026-05-29 report carried</w:t>
      </w:r>
      <w:r>
        <w:t xml:space="preserve"> </w:t>
      </w:r>
      <w:r>
        <w:t xml:space="preserve">a −96 mV V</w:t>
      </w:r>
      <w:r>
        <w:rPr>
          <w:vertAlign w:val="subscript"/>
        </w:rPr>
        <w:t xml:space="preserve">oc</w:t>
      </w:r>
      <w:r>
        <w:t xml:space="preserve"> </w:t>
      </w:r>
      <w:r>
        <w:t xml:space="preserve">deficit of then-unknown mechanism. It has since been traced to</w:t>
      </w:r>
      <w:r>
        <w:t xml:space="preserve"> </w:t>
      </w:r>
      <w:r>
        <w:t xml:space="preserve">the transport discretisation: the Scharfetter–Gummel flux carried the band-edge</w:t>
      </w:r>
      <w:r>
        <w:t xml:space="preserve"> </w:t>
      </w:r>
      <w:r>
        <w:t xml:space="preserve">potentials but not the effective-density-of-states terms, imposing spurious</w:t>
      </w:r>
      <w:r>
        <w:t xml:space="preserve"> </w:t>
      </w:r>
      <w:r>
        <w:t xml:space="preserve">quasi-Fermi-level steps of</w:t>
      </w:r>
      <w:r>
        <w:t xml:space="preserve"> </w:t>
      </w:r>
      <m:oMath>
        <m:r>
          <m:t>k</m:t>
        </m:r>
        <m:r>
          <m:t>T</m:t>
        </m:r>
        <m:r>
          <m:rPr>
            <m:nor/>
            <m:sty m:val="p"/>
          </m:rPr>
          <m:t>ln</m:t>
        </m:r>
        <m:r>
          <m:t>25</m:t>
        </m:r>
        <m:r>
          <m:rPr>
            <m:sty m:val="p"/>
          </m:rPr>
          <m:t>=</m:t>
        </m:r>
        <m:r>
          <m:t>83</m:t>
        </m:r>
      </m:oMath>
      <w:r>
        <w:t xml:space="preserve"> </w:t>
      </w:r>
      <w:r>
        <w:t xml:space="preserve">meV (HTL/PVK) and</w:t>
      </w:r>
      <w:r>
        <w:t xml:space="preserve"> </w:t>
      </w:r>
      <m:oMath>
        <m:r>
          <m:t>k</m:t>
        </m:r>
        <m:r>
          <m:t>T</m:t>
        </m:r>
        <m:r>
          <m:rPr>
            <m:nor/>
            <m:sty m:val="p"/>
          </m:rPr>
          <m:t>ln</m:t>
        </m:r>
        <m:r>
          <m:t>8</m:t>
        </m:r>
        <m:r>
          <m:rPr>
            <m:sty m:val="p"/>
          </m:rPr>
          <m:t>=</m:t>
        </m:r>
        <m:r>
          <m:t>54</m:t>
        </m:r>
      </m:oMath>
      <w:r>
        <w:t xml:space="preserve"> </w:t>
      </w:r>
      <w:r>
        <w:t xml:space="preserve">meV</w:t>
      </w:r>
      <w:r>
        <w:t xml:space="preserve"> </w:t>
      </w:r>
      <w:r>
        <w:t xml:space="preserve">(PVK/ETL) — 137 mV total, matching the solver’s measured quasi-Fermi-level</w:t>
      </w:r>
      <w:r>
        <w:t xml:space="preserve"> </w:t>
      </w:r>
      <w:r>
        <w:t xml:space="preserve">profile exactly and verified constructively (with the correction the</w:t>
      </w:r>
      <w:r>
        <w:t xml:space="preserve"> </w:t>
      </w:r>
      <w:r>
        <w:t xml:space="preserve">radiative-only configuration reaches its analytic detailed-balance ceiling,</w:t>
      </w:r>
      <w:r>
        <w:t xml:space="preserve"> </w:t>
      </w:r>
      <w:r>
        <w:t xml:space="preserve">1.2535 V). Two prior hypotheses — quasi-Fermi-level dissipation across the band</w:t>
      </w:r>
      <w:r>
        <w:t xml:space="preserve"> </w:t>
      </w:r>
      <w:r>
        <w:t xml:space="preserve">offsets and the contact boundary condition — were tested and refuted in the</w:t>
      </w:r>
      <w:r>
        <w:t xml:space="preserve"> </w:t>
      </w:r>
      <w:r>
        <w:t xml:space="preserve">process. The full account is in</w:t>
      </w:r>
      <w:r>
        <w:t xml:space="preserve"> </w:t>
      </w:r>
      <w:r>
        <w:rPr>
          <w:rStyle w:val="VerbatimChar"/>
        </w:rPr>
        <w:t xml:space="preserve">SolarLab_SCAPS_gap_analysis_corrected.pdf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bulk-defect sweeps: a sweep-wiring defect, found and fixed.</w:t>
      </w:r>
      <w:r>
        <w:t xml:space="preserve"> </w:t>
      </w:r>
      <w:r>
        <w:t xml:space="preserve">The</w:t>
      </w:r>
      <w:r>
        <w:t xml:space="preserve"> </w:t>
      </w:r>
      <w:r>
        <w:t xml:space="preserve">previous revision reported the perovskite CB/VB bulk defect-density sweeps as</w:t>
      </w:r>
      <w:r>
        <w:t xml:space="preserve"> </w:t>
      </w:r>
      <w:r>
        <w:t xml:space="preserve">fully masked (0 mV). Most of that flatness was an artifact: the sweep machinery</w:t>
      </w:r>
      <w:r>
        <w:t xml:space="preserve"> </w:t>
      </w:r>
      <w:r>
        <w:t xml:space="preserve">ratio-scaled the bulk SRH lifetime against a hardcoded absolute reference of</w:t>
      </w:r>
      <w:r>
        <w:t xml:space="preserve"> </w:t>
      </w:r>
      <w:r>
        <w:t xml:space="preserve">10</w:t>
      </w:r>
      <w:r>
        <w:rPr>
          <w:vertAlign w:val="superscript"/>
        </w:rPr>
        <w:t xml:space="preserve">16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, while the configuration’s base lifetime corresponds to its</w:t>
      </w:r>
      <w:r>
        <w:t xml:space="preserve"> </w:t>
      </w:r>
      <w:r>
        <w:t xml:space="preserve">declared 10</w:t>
      </w:r>
      <w:r>
        <w:rPr>
          <w:vertAlign w:val="superscript"/>
        </w:rPr>
        <w:t xml:space="preserve">12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defects — so every swept point in the partner range ran</w:t>
      </w:r>
      <w:r>
        <w:t xml:space="preserve"> </w:t>
      </w:r>
      <w:r>
        <w:t xml:space="preserve">with a</w:t>
      </w:r>
      <w:r>
        <w:t xml:space="preserve"> </w:t>
      </w:r>
      <w:r>
        <w:rPr>
          <w:iCs/>
          <w:i/>
        </w:rPr>
        <w:t xml:space="preserve">longer</w:t>
      </w:r>
      <w:r>
        <w:t xml:space="preserve"> </w:t>
      </w:r>
      <w:r>
        <w:t xml:space="preserve">lifetime than the baseline and the recombination knob was never</w:t>
      </w:r>
      <w:r>
        <w:t xml:space="preserve"> </w:t>
      </w:r>
      <w:r>
        <w:t xml:space="preserve">actually turned. With the lifetime now ratio-scaled off the configuration’s own</w:t>
      </w:r>
      <w:r>
        <w:t xml:space="preserve"> </w:t>
      </w:r>
      <w:r>
        <w:t xml:space="preserve">declared density, both sweeps reproduce the SCAPS V</w:t>
      </w:r>
      <w:r>
        <w:rPr>
          <w:vertAlign w:val="subscript"/>
        </w:rPr>
        <w:t xml:space="preserve">oc</w:t>
      </w:r>
      <w:r>
        <w:t xml:space="preserve">/PCE descent in</w:t>
      </w:r>
      <w:r>
        <w:t xml:space="preserve"> </w:t>
      </w:r>
      <w:r>
        <w:t xml:space="preserve">direction (VB: 41 % of the SCAPS range; CB: 11 %). The residual magnitude gap</w:t>
      </w:r>
      <w:r>
        <w:t xml:space="preserve"> </w:t>
      </w:r>
      <w:r>
        <w:t xml:space="preserve">is the genuine physics remainder: the swept trap is shallow (0.1 eV below the</w:t>
      </w:r>
      <w:r>
        <w:t xml:space="preserve"> </w:t>
      </w:r>
      <w:r>
        <w:t xml:space="preserve">conduction band, hence weakly recombining even in SCAPS), and SolarLab’s higher</w:t>
      </w:r>
      <w:r>
        <w:t xml:space="preserve"> </w:t>
      </w:r>
      <w:r>
        <w:t xml:space="preserve">interface-recombination floor partially masks the response.</w:t>
      </w:r>
    </w:p>
    <w:p>
      <w:pPr>
        <w:pStyle w:val="BodyText"/>
      </w:pPr>
      <w:r>
        <w:rPr>
          <w:bCs/>
          <w:b/>
        </w:rPr>
        <w:t xml:space="preserve">The remaining residual: one interface channel.</w:t>
      </w:r>
      <w:r>
        <w:t xml:space="preserve"> </w:t>
      </w:r>
      <w:r>
        <w:t xml:space="preserve">With the transport</w:t>
      </w:r>
      <w:r>
        <w:t xml:space="preserve"> </w:t>
      </w:r>
      <w:r>
        <w:t xml:space="preserve">corrected, the −50 mV base residual and the remaining open sweeps reduce to the</w:t>
      </w:r>
      <w:r>
        <w:t xml:space="preserve"> </w:t>
      </w:r>
      <w:r>
        <w:t xml:space="preserve">interface-recombination channel. The PVK/ETL interface dominates SolarLab’s</w:t>
      </w:r>
      <w:r>
        <w:t xml:space="preserve"> </w:t>
      </w:r>
      <w:r>
        <w:t xml:space="preserve">recombination at the corrected operating point; its strength (i) sets the −50 mV</w:t>
      </w:r>
      <w:r>
        <w:t xml:space="preserve"> </w:t>
      </w:r>
      <w:r>
        <w:t xml:space="preserve">base offset, (ii) absorbs the ETL-doping response that SCAPS expresses as a</w:t>
      </w:r>
      <w:r>
        <w:t xml:space="preserve"> </w:t>
      </w:r>
      <w:r>
        <w:t xml:space="preserve">+100 mV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rise, (iii) partially masks the bulk-defect responses discussed</w:t>
      </w:r>
      <w:r>
        <w:t xml:space="preserve"> </w:t>
      </w:r>
      <w:r>
        <w:t xml:space="preserve">above, and (iv) damps the interface-E</w:t>
      </w:r>
      <w:r>
        <w:rPr>
          <w:vertAlign w:val="subscript"/>
        </w:rPr>
        <w:t xml:space="preserve">t</w:t>
      </w:r>
      <w:r>
        <w:t xml:space="preserve"> </w:t>
      </w:r>
      <w:r>
        <w:t xml:space="preserve">response. The interface-sweep closure also explains the one</w:t>
      </w:r>
      <w:r>
        <w:t xml:space="preserve"> </w:t>
      </w:r>
      <w:r>
        <w:t xml:space="preserve">regression in Table 2: lifting the 137 mV transport floor raises the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baseline into a regime where the interface channel saturates differently, so the</w:t>
      </w:r>
      <w:r>
        <w:t xml:space="preserve"> </w:t>
      </w:r>
      <w:r>
        <w:t xml:space="preserve">PVK/ETL N</w:t>
      </w:r>
      <w:r>
        <w:rPr>
          <w:vertAlign w:val="subscript"/>
        </w:rPr>
        <w:t xml:space="preserve">t</w:t>
      </w:r>
      <w:r>
        <w:t xml:space="preserve"> </w:t>
      </w:r>
      <w:r>
        <w:t xml:space="preserve">closure moves from 72 % (correction off) to 53 % (on) — the</w:t>
      </w:r>
      <w:r>
        <w:t xml:space="preserve"> </w:t>
      </w:r>
      <w:r>
        <w:t xml:space="preserve">correction trades some interface-sweep range for base-point accuracy, with the</w:t>
      </w:r>
      <w:r>
        <w:t xml:space="preserve"> </w:t>
      </w:r>
      <w:r>
        <w:t xml:space="preserve">direction preserved. Matching SCAPS’s interface behaviour exactly would require</w:t>
      </w:r>
      <w:r>
        <w:t xml:space="preserve"> </w:t>
      </w:r>
      <w:r>
        <w:t xml:space="preserve">adopting its interface-recombination formulation (two-sided carrier capture with</w:t>
      </w:r>
      <w:r>
        <w:t xml:space="preserve"> </w:t>
      </w:r>
      <w:r>
        <w:t xml:space="preserve">SCAPS’s reference-density conventions), which is documented as future work, not</w:t>
      </w:r>
      <w:r>
        <w:t xml:space="preserve"> </w:t>
      </w:r>
      <w:r>
        <w:t xml:space="preserve">approximated by tuning.</w:t>
      </w:r>
    </w:p>
    <w:p>
      <w:pPr>
        <w:pStyle w:val="BodyText"/>
      </w:pPr>
      <w:r>
        <w:rPr>
          <w:bCs/>
          <w:b/>
        </w:rPr>
        <w:t xml:space="preserve">ETL low-doping regime.</w:t>
      </w:r>
      <w:r>
        <w:t xml:space="preserve"> </w:t>
      </w:r>
      <w:r>
        <w:t xml:space="preserve">At N</w:t>
      </w:r>
      <w:r>
        <w:rPr>
          <w:vertAlign w:val="subscript"/>
        </w:rPr>
        <w:t xml:space="preserve">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12</w:t>
      </w:r>
      <w:r>
        <w:t xml:space="preserve"> </w:t>
      </w:r>
      <w:r>
        <w:t xml:space="preserve">cm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the ETL is effectively an</w:t>
      </w:r>
      <w:r>
        <w:t xml:space="preserve"> </w:t>
      </w:r>
      <w:r>
        <w:t xml:space="preserve">insulator; SolarLab’s transient solver cannot establish the steady state there</w:t>
      </w:r>
      <w:r>
        <w:t xml:space="preserve"> </w:t>
      </w:r>
      <w:r>
        <w:t xml:space="preserve">and its ideal-ohmic contact pins degenerate (the excluded grey points). A</w:t>
      </w:r>
      <w:r>
        <w:t xml:space="preserve"> </w:t>
      </w:r>
      <w:r>
        <w:t xml:space="preserve">SCAPS-style flat-band contact mode (</w:t>
      </w:r>
      <w:r>
        <w:rPr>
          <w:rStyle w:val="VerbatimChar"/>
        </w:rPr>
        <w:t xml:space="preserve">flat_band_contacts</w:t>
      </w:r>
      <w:r>
        <w:t xml:space="preserve">) was implemented and</w:t>
      </w:r>
      <w:r>
        <w:t xml:space="preserve"> </w:t>
      </w:r>
      <w:r>
        <w:t xml:space="preserve">eliminates the unphysical pseudo-crossings; reproducing SCAPS’s absolute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in that regime additionally requires a direct steady-state solve, which is an</w:t>
      </w:r>
      <w:r>
        <w:t xml:space="preserve"> </w:t>
      </w:r>
      <w:r>
        <w:t xml:space="preserve">engine-level difference, documented and bounded.</w:t>
      </w:r>
    </w:p>
    <w:p>
      <w:pPr>
        <w:pStyle w:val="BodyText"/>
      </w:pPr>
      <w:r>
        <w:rPr>
          <w:bCs/>
          <w:b/>
        </w:rPr>
        <w:t xml:space="preserve">Short-circuit current (−2 %).</w:t>
      </w:r>
      <w:r>
        <w:t xml:space="preserve"> </w:t>
      </w:r>
      <w:r>
        <w:t xml:space="preserve">Front-surface reflection that SolarLab’s</w:t>
      </w:r>
      <w:r>
        <w:t xml:space="preserve"> </w:t>
      </w:r>
      <w:r>
        <w:t xml:space="preserve">transfer-matrix optics retains and SCAPS idealises away; kept deliberately.</w:t>
      </w:r>
    </w:p>
    <w:bookmarkStart w:id="38" w:name="X3afa80b254ab6a5b38f419aab59c877e26c7631"/>
    <w:p>
      <w:pPr>
        <w:pStyle w:val="Heading2"/>
      </w:pPr>
      <w:r>
        <w:t xml:space="preserve">5.1 Interface-plane closure for defect-interface recombination</w:t>
      </w:r>
    </w:p>
    <w:p>
      <w:pPr>
        <w:pStyle w:val="FirstParagraph"/>
      </w:pPr>
      <w:r>
        <w:t xml:space="preserve">After this report’s main analysis was frozen, the named residual mechanism was</w:t>
      </w:r>
      <w:r>
        <w:t xml:space="preserve"> </w:t>
      </w:r>
      <w:r>
        <w:t xml:space="preserve">addressed directly: an optional</w:t>
      </w:r>
      <w:r>
        <w:t xml:space="preserve"> </w:t>
      </w:r>
      <w:r>
        <w:rPr>
          <w:iCs/>
          <w:i/>
        </w:rPr>
        <w:t xml:space="preserve">interface-plane closure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interface_plane_closure</w:t>
      </w:r>
      <w:r>
        <w:t xml:space="preserve">, default off) evaluates defect-interface</w:t>
      </w:r>
      <w:r>
        <w:t xml:space="preserve"> </w:t>
      </w:r>
      <w:r>
        <w:t xml:space="preserve">recombination on true interface-plane carrier densities, solved per evaluation</w:t>
      </w:r>
      <w:r>
        <w:t xml:space="preserve"> </w:t>
      </w:r>
      <w:r>
        <w:t xml:space="preserve">from a local implicit flux balance (supply-limited; the plane gap is the</w:t>
      </w:r>
      <w:r>
        <w:t xml:space="preserve"> </w:t>
      </w:r>
      <w:r>
        <w:t xml:space="preserve">reduced interface gap, which carries the band-offset cliff physics; the trap</w:t>
      </w:r>
      <w:r>
        <w:t xml:space="preserve"> </w:t>
      </w:r>
      <w:r>
        <w:t xml:space="preserve">level is clamped to that gap). It is the fifth interface formulation attempted</w:t>
      </w:r>
      <w:r>
        <w:t xml:space="preserve"> </w:t>
      </w:r>
      <w:r>
        <w:t xml:space="preserve">and the first with a net-positive measured outcome: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t xml:space="preserve">corrected config</w:t>
            </w:r>
          </w:p>
        </w:tc>
        <w:tc>
          <w:p>
            <w:pPr>
              <w:pStyle w:val="Compact"/>
              <w:jc w:val="left"/>
            </w:pPr>
            <w:r>
              <w:t xml:space="preserve">+ plane closure</w:t>
            </w:r>
          </w:p>
        </w:tc>
        <w:tc>
          <w:p>
            <w:pPr>
              <w:pStyle w:val="Compact"/>
              <w:jc w:val="left"/>
            </w:pPr>
            <w:r>
              <w:t xml:space="preserve">SCAPS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HTL/PVK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 mV (flat)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3.6 mV (70 %)</w:t>
            </w:r>
          </w:p>
        </w:tc>
        <w:tc>
          <w:p>
            <w:pPr>
              <w:pStyle w:val="Compact"/>
              <w:jc w:val="left"/>
            </w:pPr>
            <w:r>
              <w:t xml:space="preserve">5.2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ETL/PVK band offset</w:t>
            </w:r>
          </w:p>
        </w:tc>
        <w:tc>
          <w:p>
            <w:pPr>
              <w:pStyle w:val="Compact"/>
              <w:jc w:val="left"/>
            </w:pPr>
            <w:r>
              <w:t xml:space="preserve">734 mV (80 %)</w:t>
            </w:r>
          </w:p>
        </w:tc>
        <w:tc>
          <w:p>
            <w:pPr>
              <w:pStyle w:val="Compact"/>
              <w:jc w:val="left"/>
            </w:pPr>
            <w:r>
              <w:t xml:space="preserve">707 mV (77 %)</w:t>
            </w:r>
          </w:p>
        </w:tc>
        <w:tc>
          <w:p>
            <w:pPr>
              <w:pStyle w:val="Compact"/>
              <w:jc w:val="left"/>
            </w:pPr>
            <w:r>
              <w:t xml:space="preserve">918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PVK/ETL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149 mV (53 %)</w:t>
            </w:r>
          </w:p>
        </w:tc>
        <w:tc>
          <w:p>
            <w:pPr>
              <w:pStyle w:val="Compact"/>
              <w:jc w:val="left"/>
            </w:pPr>
            <w:r>
              <w:t xml:space="preserve">127 mV (45 %)</w:t>
            </w:r>
          </w:p>
        </w:tc>
        <w:tc>
          <w:p>
            <w:pPr>
              <w:pStyle w:val="Compact"/>
              <w:jc w:val="left"/>
            </w:pPr>
            <w:r>
              <w:t xml:space="preserve">282 mV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V</w:t>
            </w:r>
            <w:r>
              <w:rPr>
                <w:vertAlign w:val="subscript"/>
              </w:rPr>
              <w:t xml:space="preserve">oc</w:t>
            </w:r>
            <w:r>
              <w:t xml:space="preserve"> </w:t>
            </w:r>
            <w:r>
              <w:t xml:space="preserve">/ other sweeps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HTL/PVK interface — flat in SolarLab under every previous formulation</w:t>
      </w:r>
      <w:r>
        <w:t xml:space="preserve"> </w:t>
      </w:r>
      <w:r>
        <w:t xml:space="preserve">across six decades of surface-recombination velocity — now reproduces 70 % of</w:t>
      </w:r>
      <w:r>
        <w:t xml:space="preserve"> </w:t>
      </w:r>
      <w:r>
        <w:t xml:space="preserve">SCAPS’s response, at a small cost in the two large interface sweeps and no</w:t>
      </w:r>
      <w:r>
        <w:t xml:space="preserve"> </w:t>
      </w:r>
      <w:r>
        <w:t xml:space="preserve">change elsewhere. A combined probe (closure + flat-band contacts) did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recover the ETL-doping rising arm, confirming that sweep, the PVK/ETL trap</w:t>
      </w:r>
      <w:r>
        <w:t xml:space="preserve"> </w:t>
      </w:r>
      <w:r>
        <w:t xml:space="preserve">energy, and the residual base offset as the remaining open items.</w:t>
      </w:r>
    </w:p>
    <w:bookmarkEnd w:id="38"/>
    <w:bookmarkStart w:id="39" w:name="X5d9d5d7ad7493fe412d9fbe61f0c2e13f43e0f6"/>
    <w:p>
      <w:pPr>
        <w:pStyle w:val="Heading2"/>
      </w:pPr>
      <w:r>
        <w:t xml:space="preserve">5.2 A direct steady-state solver and two-method cross-validation</w:t>
      </w:r>
    </w:p>
    <w:p>
      <w:pPr>
        <w:pStyle w:val="FirstParagraph"/>
      </w:pPr>
      <w:r>
        <w:t xml:space="preserve">The direct steady-state solve named above has since been built and</w:t>
      </w:r>
      <w:r>
        <w:t xml:space="preserve"> </w:t>
      </w:r>
      <w:r>
        <w:t xml:space="preserve">validated: the new driver solves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discretised physics the</w:t>
      </w:r>
      <w:r>
        <w:t xml:space="preserve"> </w:t>
      </w:r>
      <w:r>
        <w:t xml:space="preserve">transient integrates (one implementation, two solution methods), with a</w:t>
      </w:r>
      <w:r>
        <w:t xml:space="preserve"> </w:t>
      </w:r>
      <w:r>
        <w:t xml:space="preserve">damped Newton iteration, a smoothed thermionic-emission cap, and a</w:t>
      </w:r>
      <w:r>
        <w:t xml:space="preserve"> </w:t>
      </w:r>
      <w:r>
        <w:t xml:space="preserve">certified transient fallback at the few biases where the interface-switch</w:t>
      </w:r>
      <w:r>
        <w:t xml:space="preserve"> </w:t>
      </w:r>
      <w:r>
        <w:t xml:space="preserve">non-smoothness defeats a derivative-based method. Cross-validation of the</w:t>
      </w:r>
      <w:r>
        <w:t xml:space="preserve"> </w:t>
      </w:r>
      <w:r>
        <w:t xml:space="preserve">two methods on the mirror device (frozen ions in both): the steady-state</w:t>
      </w:r>
      <w:r>
        <w:t xml:space="preserve"> </w:t>
      </w:r>
      <w:r>
        <w:t xml:space="preserve">J–V matches the slow-scan transient within 5 mV in V</w:t>
      </w:r>
      <w:r>
        <w:rPr>
          <w:vertAlign w:val="subscript"/>
        </w:rPr>
        <w:t xml:space="preserve">oc</w:t>
      </w:r>
      <w:r>
        <w:t xml:space="preserve"> </w:t>
      </w:r>
      <w:r>
        <w:t xml:space="preserve">and 1 % in</w:t>
      </w:r>
      <w:r>
        <w:t xml:space="preserve"> </w:t>
      </w:r>
      <w:r>
        <w:t xml:space="preserve">J</w:t>
      </w:r>
      <w:r>
        <w:rPr>
          <w:vertAlign w:val="subscript"/>
        </w:rPr>
        <w:t xml:space="preserve">sc</w:t>
      </w:r>
      <w:r>
        <w:t xml:space="preserve"> </w:t>
      </w:r>
      <w:r>
        <w:t xml:space="preserve">end-to-end, and a direct bisection V</w:t>
      </w:r>
      <w:r>
        <w:rPr>
          <w:vertAlign w:val="subscript"/>
        </w:rPr>
        <w:t xml:space="preserve">oc</w:t>
      </w:r>
      <w:r>
        <w:t xml:space="preserve"> </w:t>
      </w:r>
      <w:r>
        <w:t xml:space="preserve">solve agrees with the</w:t>
      </w:r>
      <w:r>
        <w:t xml:space="preserve"> </w:t>
      </w:r>
      <w:r>
        <w:t xml:space="preserve">sweep interpolation within 2 mV — eliminating the voltage-grid</w:t>
      </w:r>
      <w:r>
        <w:t xml:space="preserve"> </w:t>
      </w:r>
      <w:r>
        <w:t xml:space="preserve">interpolation artefact identified in Section 2.</w:t>
      </w:r>
    </w:p>
    <w:p>
      <w:pPr>
        <w:pStyle w:val="BodyText"/>
      </w:pPr>
      <w:r>
        <w:t xml:space="preserve">The driver also settles the low-doping question definitively, in an</w:t>
      </w:r>
      <w:r>
        <w:t xml:space="preserve"> </w:t>
      </w:r>
      <w:r>
        <w:t xml:space="preserve">unexpected direction. With the solver no longer the limit, the</w:t>
      </w:r>
      <w:r>
        <w:t xml:space="preserve"> </w:t>
      </w:r>
      <w:r>
        <w:t xml:space="preserve">ETL-doping walk at N</w:t>
      </w:r>
      <w:r>
        <w:rPr>
          <w:vertAlign w:val="subscript"/>
        </w:rPr>
        <w:t xml:space="preserve">D</w:t>
      </w:r>
      <w:r>
        <w:t xml:space="preserve"> </w:t>
      </w:r>
      <w:r>
        <w:t xml:space="preserve">= 10</w:t>
      </w:r>
      <w:r>
        <w:rPr>
          <w:vertAlign w:val="superscript"/>
        </w:rPr>
        <w:t xml:space="preserve">10</w:t>
      </w:r>
      <w:r>
        <w:t xml:space="preserve"> </w:t>
      </w:r>
      <w:r>
        <w:t xml:space="preserve">cm</w:t>
      </w:r>
      <w:r>
        <w:rPr>
          <w:vertAlign w:val="superscript"/>
        </w:rPr>
        <w:t xml:space="preserve">-3</w:t>
      </w:r>
      <w:r>
        <w:t xml:space="preserve"> </w:t>
      </w:r>
      <w:r>
        <w:t xml:space="preserve">completes — and the current</w:t>
      </w:r>
      <w:r>
        <w:t xml:space="preserve"> </w:t>
      </w:r>
      <w:r>
        <w:t xml:space="preserve">genuinely finds</w:t>
      </w:r>
      <w:r>
        <w:t xml:space="preserve"> </w:t>
      </w:r>
      <w:r>
        <w:rPr>
          <w:bCs/>
          <w:b/>
        </w:rPr>
        <w:t xml:space="preserve">no zero crossing below 1.6 V</w:t>
      </w:r>
      <w:r>
        <w:t xml:space="preserve">, in agreement with the</w:t>
      </w:r>
      <w:r>
        <w:t xml:space="preserve"> </w:t>
      </w:r>
      <w:r>
        <w:t xml:space="preserve">transient flat-band result (the model’s crossing sits near 1.29 V, above</w:t>
      </w:r>
      <w:r>
        <w:t xml:space="preserve"> </w:t>
      </w:r>
      <w:r>
        <w:t xml:space="preserve">the detailed-balance ceiling, i.e. in the degenerate regime the validity</w:t>
      </w:r>
      <w:r>
        <w:t xml:space="preserve"> </w:t>
      </w:r>
      <w:r>
        <w:t xml:space="preserve">guard excludes). Two independent solution methods agreeing on one</w:t>
      </w:r>
      <w:r>
        <w:t xml:space="preserve"> </w:t>
      </w:r>
      <w:r>
        <w:t xml:space="preserve">physics implementation means the remaining low-doping difference to</w:t>
      </w:r>
      <w:r>
        <w:t xml:space="preserve"> </w:t>
      </w:r>
      <w:r>
        <w:t xml:space="preserve">SCAPS (V</w:t>
      </w:r>
      <w:r>
        <w:rPr>
          <w:vertAlign w:val="subscript"/>
        </w:rPr>
        <w:t xml:space="preserve">oc</w:t>
      </w:r>
      <w:r>
        <w:t xml:space="preserve"> </w:t>
      </w:r>
      <w:r>
        <w:t xml:space="preserve">= 1.10 V there) is a</w:t>
      </w:r>
      <w:r>
        <w:t xml:space="preserve"> </w:t>
      </w:r>
      <w:r>
        <w:rPr>
          <w:iCs/>
          <w:i/>
        </w:rPr>
        <w:t xml:space="preserve">model-convention</w:t>
      </w:r>
      <w:r>
        <w:t xml:space="preserve"> </w:t>
      </w:r>
      <w:r>
        <w:t xml:space="preserve">difference in the</w:t>
      </w:r>
      <w:r>
        <w:t xml:space="preserve"> </w:t>
      </w:r>
      <w:r>
        <w:t xml:space="preserve">treatment of near-insulating contact layers, not a solver limitation:</w:t>
      </w:r>
      <w:r>
        <w:t xml:space="preserve"> </w:t>
      </w:r>
      <w:r>
        <w:t xml:space="preserve">the premise that a direct steady-state solve would recover SCAPS’s</w:t>
      </w:r>
      <w:r>
        <w:t xml:space="preserve"> </w:t>
      </w:r>
      <w:r>
        <w:t xml:space="preserve">low-doping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is falsified by having built exactly that. The same</w:t>
      </w:r>
      <w:r>
        <w:t xml:space="preserve"> </w:t>
      </w:r>
      <w:r>
        <w:t xml:space="preserve">conclusion extends to the other open items: all remaining differences</w:t>
      </w:r>
      <w:r>
        <w:t xml:space="preserve"> </w:t>
      </w:r>
      <w:r>
        <w:t xml:space="preserve">trace to SCAPS-specific model conventions (its interface-plane carrier</w:t>
      </w:r>
      <w:r>
        <w:t xml:space="preserve"> </w:t>
      </w:r>
      <w:r>
        <w:t xml:space="preserve">states and contact treatment), which would require reproducing those</w:t>
      </w:r>
      <w:r>
        <w:t xml:space="preserve"> </w:t>
      </w:r>
      <w:r>
        <w:t xml:space="preserve">conventions explicitly rather than further numerical work.</w:t>
      </w:r>
    </w:p>
    <w:bookmarkEnd w:id="39"/>
    <w:bookmarkStart w:id="40" w:name="X472cfb840034e92593d71fb29eba13ebd6d68e8"/>
    <w:p>
      <w:pPr>
        <w:pStyle w:val="Heading2"/>
      </w:pPr>
      <w:r>
        <w:t xml:space="preserve">5.3 The base-V</w:t>
      </w:r>
      <w:r>
        <w:rPr>
          <w:vertAlign w:val="subscript"/>
        </w:rPr>
        <w:t xml:space="preserve">oc</w:t>
      </w:r>
      <w:r>
        <w:t xml:space="preserve"> </w:t>
      </w:r>
      <w:r>
        <w:t xml:space="preserve">offset: Auger origin and the faithful-versus-emulation modes</w:t>
      </w:r>
    </w:p>
    <w:p>
      <w:pPr>
        <w:pStyle w:val="FirstParagraph"/>
      </w:pPr>
      <w:r>
        <w:t xml:space="preserve">The residual base-V</w:t>
      </w:r>
      <w:r>
        <w:rPr>
          <w:vertAlign w:val="subscript"/>
        </w:rPr>
        <w:t xml:space="preserve">oc</w:t>
      </w:r>
      <w:r>
        <w:t xml:space="preserve"> </w:t>
      </w:r>
      <w:r>
        <w:t xml:space="preserve">offset (SolarLab below SCAPS) was attributed throughout</w:t>
      </w:r>
      <w:r>
        <w:t xml:space="preserve"> </w:t>
      </w:r>
      <w:r>
        <w:t xml:space="preserve">this work to</w:t>
      </w:r>
      <w:r>
        <w:t xml:space="preserve"> </w:t>
      </w:r>
      <w:r>
        <w:rPr>
          <w:iCs/>
          <w:i/>
        </w:rPr>
        <w:t xml:space="preserve">interface recombination</w:t>
      </w:r>
      <w:r>
        <w:t xml:space="preserve">. A direct decomposition of the</w:t>
      </w:r>
      <w:r>
        <w:t xml:space="preserve"> </w:t>
      </w:r>
      <w:r>
        <w:t xml:space="preserve">recombination current at the operating point overturns that attribution: the</w:t>
      </w:r>
      <w:r>
        <w:t xml:space="preserve"> </w:t>
      </w:r>
      <w:r>
        <w:t xml:space="preserve">dominant loss is</w:t>
      </w:r>
      <w:r>
        <w:t xml:space="preserve"> </w:t>
      </w:r>
      <w:r>
        <w:rPr>
          <w:bCs/>
          <w:b/>
        </w:rPr>
        <w:t xml:space="preserve">Auger recombination</w:t>
      </w:r>
      <w:r>
        <w:t xml:space="preserve"> </w:t>
      </w:r>
      <w:r>
        <w:t xml:space="preserve">(about 105 A/m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recombination</w:t>
      </w:r>
      <w:r>
        <w:t xml:space="preserve"> </w:t>
      </w:r>
      <w:r>
        <w:t xml:space="preserve">current, versus about 26 A/m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 interface channel and a negligible bulk SRH</w:t>
      </w:r>
      <w:r>
        <w:t xml:space="preserve"> </w:t>
      </w:r>
      <w:r>
        <w:t xml:space="preserve">contribution). The base offset is therefore an</w:t>
      </w:r>
      <w:r>
        <w:t xml:space="preserve"> </w:t>
      </w:r>
      <w:r>
        <w:rPr>
          <w:iCs/>
          <w:i/>
        </w:rPr>
        <w:t xml:space="preserve">absorber</w:t>
      </w:r>
      <w:r>
        <w:t xml:space="preserve"> </w:t>
      </w:r>
      <w:r>
        <w:t xml:space="preserve">effect, not an</w:t>
      </w:r>
      <w:r>
        <w:t xml:space="preserve"> </w:t>
      </w:r>
      <w:r>
        <w:t xml:space="preserve">interface effect.</w:t>
      </w:r>
    </w:p>
    <w:p>
      <w:pPr>
        <w:pStyle w:val="BodyText"/>
      </w:pPr>
      <w:r>
        <w:t xml:space="preserve">The Auger loss concentrates at the HTL/PVK heterojunction. The 0.18 eV</w:t>
      </w:r>
      <w:r>
        <w:t xml:space="preserve"> </w:t>
      </w:r>
      <w:r>
        <w:t xml:space="preserve">valence-band offset there produces a Boltzmann hole accumulation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exp(ΔE_v/kT)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) at the junction; since the Auger rate scales as</w:t>
      </w:r>
      <w:r>
        <w:t xml:space="preserve"> </w:t>
      </w:r>
      <w:r>
        <w:rPr>
          <w:rStyle w:val="VerbatimChar"/>
        </w:rPr>
        <w:t xml:space="preserve">c_p · p² · n</w:t>
      </w:r>
      <w:r>
        <w:t xml:space="preserve">, that accumulation dominates the absorber’s Auger loss. Both</w:t>
      </w:r>
      <w:r>
        <w:t xml:space="preserve"> </w:t>
      </w:r>
      <w:r>
        <w:t xml:space="preserve">codes use the identical Auger coefficient and rate formula (audit-confirmed),</w:t>
      </w:r>
      <w:r>
        <w:t xml:space="preserve"> </w:t>
      </w:r>
      <w:r>
        <w:t xml:space="preserve">so the difference is the</w:t>
      </w:r>
      <w:r>
        <w:t xml:space="preserve"> </w:t>
      </w:r>
      <w:r>
        <w:rPr>
          <w:iCs/>
          <w:i/>
        </w:rPr>
        <w:t xml:space="preserve">carrier density</w:t>
      </w:r>
      <w:r>
        <w:t xml:space="preserve">: SolarLab’s effective-density-of-</w:t>
      </w:r>
      <w:r>
        <w:t xml:space="preserve"> </w:t>
      </w:r>
      <w:r>
        <w:t xml:space="preserve">states correction (</w:t>
      </w:r>
      <w:r>
        <w:rPr>
          <w:rStyle w:val="VerbatimChar"/>
        </w:rPr>
        <w:t xml:space="preserve">dos_band_potentials</w:t>
      </w:r>
      <w:r>
        <w:t xml:space="preserve">, the term that fixed the larger</w:t>
      </w:r>
      <w:r>
        <w:t xml:space="preserve"> </w:t>
      </w:r>
      <w:r>
        <w:t xml:space="preserve">quasi-Fermi-level discrepancy) raises the interface hole density that SCAPS,</w:t>
      </w:r>
      <w:r>
        <w:t xml:space="preserve"> </w:t>
      </w:r>
      <w:r>
        <w:t xml:space="preserve">lacking that correction, does not carry. SolarLab consequently models a larger —</w:t>
      </w:r>
      <w:r>
        <w:t xml:space="preserve"> </w:t>
      </w:r>
      <w:r>
        <w:t xml:space="preserve">and arguably more complete — Auger loss.</w:t>
      </w:r>
    </w:p>
    <w:p>
      <w:pPr>
        <w:pStyle w:val="BodyText"/>
      </w:pPr>
      <w:r>
        <w:t xml:space="preserve">This produces a genuine, non-removable tension between two legitimate goals: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p>
            <w:pPr>
              <w:pStyle w:val="Compact"/>
              <w:jc w:val="left"/>
            </w:pPr>
            <w:r>
              <w:t xml:space="preserve">base V</w:t>
            </w:r>
            <w:r>
              <w:rPr>
                <w:vertAlign w:val="subscript"/>
              </w:rPr>
              <w:t xml:space="preserve">oc</w:t>
            </w:r>
          </w:p>
        </w:tc>
        <w:tc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Most-faithful physics</w:t>
            </w:r>
            <w:r>
              <w:t xml:space="preserve"> </w:t>
            </w:r>
            <w:r>
              <w:t xml:space="preserve">(default)</w:t>
            </w:r>
          </w:p>
        </w:tc>
        <w:tc>
          <w:p>
            <w:pPr>
              <w:pStyle w:val="Compact"/>
              <w:jc w:val="left"/>
            </w:pPr>
            <w:r>
              <w:t xml:space="preserve">1.12–1.13 V</w:t>
            </w:r>
          </w:p>
        </w:tc>
        <w:tc>
          <w:p>
            <w:pPr>
              <w:pStyle w:val="Compact"/>
              <w:jc w:val="left"/>
            </w:pPr>
            <w:r>
              <w:t xml:space="preserve">effective-DOS transport + interface-plane recombination; sits at the</w:t>
            </w:r>
            <w:r>
              <w:t xml:space="preserve"> </w:t>
            </w:r>
            <w:r>
              <w:rPr>
                <w:bCs/>
                <w:b/>
              </w:rPr>
              <w:t xml:space="preserve">measured-device median</w:t>
            </w:r>
            <w:r>
              <w:t xml:space="preserve"> </w:t>
            </w:r>
            <w:r>
              <w:t xml:space="preserve">(1.05–1.13 V) for this MAPbI</w:t>
            </w:r>
            <w:r>
              <w:rPr>
                <w:vertAlign w:val="subscript"/>
              </w:rPr>
              <w:t xml:space="preserve">3</w:t>
            </w:r>
            <w:r>
              <w:t xml:space="preserve">/spiro/TiO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stack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SCAPS reproduction</w:t>
            </w:r>
            <w:r>
              <w:t xml:space="preserve"> </w:t>
            </w:r>
            <w:r>
              <w:t xml:space="preserve">(explicit flag)</w:t>
            </w:r>
          </w:p>
        </w:tc>
        <w:tc>
          <w:p>
            <w:pPr>
              <w:pStyle w:val="Compact"/>
              <w:jc w:val="left"/>
            </w:pPr>
            <w:r>
              <w:t xml:space="preserve">1.168 V</w:t>
            </w:r>
          </w:p>
        </w:tc>
        <w:tc>
          <w:p>
            <w:pPr>
              <w:pStyle w:val="Compact"/>
              <w:jc w:val="left"/>
            </w:pPr>
            <w:r>
              <w:t xml:space="preserve">reproduces SCAPS by emulating its interface-Auger convention</w:t>
            </w:r>
          </w:p>
        </w:tc>
      </w:tr>
    </w:tbl>
    <w:p>
      <w:pPr>
        <w:pStyle w:val="BodyText"/>
      </w:pPr>
      <w:r>
        <w:t xml:space="preserve">Five independent fit-free configurations all place SolarLab’s faithful base at</w:t>
      </w:r>
      <w:r>
        <w:t xml:space="preserve"> </w:t>
      </w:r>
      <w:r>
        <w:t xml:space="preserve">1.12–1.13 V; SCAPS’s 1.168 V is reachable only by an explicit emulation setting.</w:t>
      </w:r>
      <w:r>
        <w:t xml:space="preserve"> </w:t>
      </w:r>
      <w:r>
        <w:t xml:space="preserve">SCAPS’s value sits at the published champion ceiling rather than the device</w:t>
      </w:r>
      <w:r>
        <w:t xml:space="preserve"> </w:t>
      </w:r>
      <w:r>
        <w:t xml:space="preserve">median, so SolarLab’s lower base is the more device-realistic figure. We</w:t>
      </w:r>
      <w:r>
        <w:t xml:space="preserve"> </w:t>
      </w:r>
      <w:r>
        <w:t xml:space="preserve">therefore ship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modes: the faithful physics as the default, and a</w:t>
      </w:r>
      <w:r>
        <w:t xml:space="preserve"> </w:t>
      </w:r>
      <w:r>
        <w:t xml:space="preserve">flag-gated SCAPS-emulation correction (</w:t>
      </w:r>
      <w:r>
        <w:rPr>
          <w:rStyle w:val="VerbatimChar"/>
        </w:rPr>
        <w:t xml:space="preserve">het_recomb_despike</w:t>
      </w:r>
      <w:r>
        <w:t xml:space="preserve">) for partner</w:t>
      </w:r>
      <w:r>
        <w:t xml:space="preserve"> </w:t>
      </w:r>
      <w:r>
        <w:t xml:space="preserve">cross-validation, which recovers the SCAPS base to within 1 mV and, as a</w:t>
      </w:r>
      <w:r>
        <w:t xml:space="preserve"> </w:t>
      </w:r>
      <w:r>
        <w:t xml:space="preserve">by-product, tightens five trend magnitudes (CBO 80→85 %, bulk N</w:t>
      </w:r>
      <w:r>
        <w:rPr>
          <w:vertAlign w:val="subscript"/>
        </w:rPr>
        <w:t xml:space="preserve">t</w:t>
      </w:r>
      <w:r>
        <w:t xml:space="preserve"> </w:t>
      </w:r>
      <w:r>
        <w:t xml:space="preserve">11→69 %,</w:t>
      </w:r>
      <w:r>
        <w:t xml:space="preserve"> </w:t>
      </w:r>
      <w:r>
        <w:t xml:space="preserve">interface N</w:t>
      </w:r>
      <w:r>
        <w:rPr>
          <w:vertAlign w:val="subscript"/>
        </w:rPr>
        <w:t xml:space="preserve">t</w:t>
      </w:r>
      <w:r>
        <w:t xml:space="preserve"> </w:t>
      </w:r>
      <w:r>
        <w:t xml:space="preserve">53→72 %).</w:t>
      </w:r>
    </w:p>
    <w:p>
      <w:pPr>
        <w:pStyle w:val="BodyText"/>
      </w:pPr>
      <w:r>
        <w:t xml:space="preserve">Two of the eleven sweeps — ETL donor doping and the HTL/PVK interface</w:t>
      </w:r>
      <w:r>
        <w:t xml:space="preserve"> </w:t>
      </w:r>
      <w:r>
        <w:t xml:space="preserve">defect density — reverse or flatten in</w:t>
      </w:r>
      <w:r>
        <w:t xml:space="preserve"> </w:t>
      </w:r>
      <w:r>
        <w:rPr>
          <w:iCs/>
          <w:i/>
        </w:rPr>
        <w:t xml:space="preserve">direction</w:t>
      </w:r>
      <w:r>
        <w:t xml:space="preserve"> </w:t>
      </w:r>
      <w:r>
        <w:t xml:space="preserve">on the fast transient path,</w:t>
      </w:r>
      <w:r>
        <w:t xml:space="preserve"> </w:t>
      </w:r>
      <w:r>
        <w:t xml:space="preserve">because that path samples interface recombination at bulk grid nodes rather</w:t>
      </w:r>
      <w:r>
        <w:t xml:space="preserve"> </w:t>
      </w:r>
      <w:r>
        <w:t xml:space="preserve">than the interface plane. Routing those sweeps through the steady-state driver</w:t>
      </w:r>
      <w:r>
        <w:t xml:space="preserve"> </w:t>
      </w:r>
      <w:r>
        <w:t xml:space="preserve">with explicit interface-plane carrier states recovers the correct direction:</w:t>
      </w:r>
      <w:r>
        <w:t xml:space="preserve"> </w:t>
      </w:r>
      <w:r>
        <w:t xml:space="preserve">the ETL-doping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rises with doping (+105 mV measured versus SCAPS’s +48,</w:t>
      </w:r>
      <w:r>
        <w:t xml:space="preserve"> </w:t>
      </w:r>
      <w:r>
        <w:t xml:space="preserve">direction matched) and the HTL/PVK interface response drops with defect density</w:t>
      </w:r>
      <w:r>
        <w:t xml:space="preserve"> </w:t>
      </w:r>
      <w:r>
        <w:t xml:space="preserve">(−29 mV versus SCAPS’s −5, direction matched). With the interface-plane states</w:t>
      </w:r>
      <w:r>
        <w:t xml:space="preserve"> </w:t>
      </w:r>
      <w:r>
        <w:t xml:space="preserve">active,</w:t>
      </w:r>
      <w:r>
        <w:t xml:space="preserve"> </w:t>
      </w:r>
      <w:r>
        <w:rPr>
          <w:bCs/>
          <w:b/>
        </w:rPr>
        <w:t xml:space="preserve">all eleven sweep directions reproduce SCAPS</w:t>
      </w:r>
      <w:r>
        <w:t xml:space="preserve">; the two recovered</w:t>
      </w:r>
      <w:r>
        <w:t xml:space="preserve"> </w:t>
      </w:r>
      <w:r>
        <w:t xml:space="preserve">sweeps then over-respond in magnitude (the interface-plane channel is</w:t>
      </w:r>
      <w:r>
        <w:t xml:space="preserve"> </w:t>
      </w:r>
      <w:r>
        <w:t xml:space="preserve">over-strong — its carrier-density calibration is the named residual, scoped to</w:t>
      </w:r>
      <w:r>
        <w:t xml:space="preserve"> </w:t>
      </w:r>
      <w:r>
        <w:t xml:space="preserve">the steady-state interface-physics work).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trends</w:t>
      </w:r>
      <w:r>
        <w:t xml:space="preserve"> </w:t>
      </w:r>
      <w:r>
        <w:t xml:space="preserve">therefore reproduce faithfully — every sweep direction</w:t>
      </w:r>
      <w:r>
        <w:t xml:space="preserve"> </w:t>
      </w:r>
      <w:r>
        <w:t xml:space="preserve">matches (the two interface-doping sweeps via the interface-plane states above),</w:t>
      </w:r>
      <w:r>
        <w:t xml:space="preserve"> </w:t>
      </w:r>
      <w:r>
        <w:t xml:space="preserve">with magnitudes at 53–87 % of SCAPS; the residual magnitude gap is SCAPS’s</w:t>
      </w:r>
      <w:r>
        <w:t xml:space="preserve"> </w:t>
      </w:r>
      <w:r>
        <w:t xml:space="preserve">specific thermionic-emission /</w:t>
      </w:r>
      <w:r>
        <w:t xml:space="preserve"> </w:t>
      </w:r>
      <w:r>
        <w:t xml:space="preserve">Pauwels-Vanhoutte interface convention. Only the base</w:t>
      </w:r>
      <w:r>
        <w:t xml:space="preserve"> </w:t>
      </w:r>
      <w:r>
        <w:rPr>
          <w:iCs/>
          <w:i/>
        </w:rPr>
        <w:t xml:space="preserve">absolute</w:t>
      </w:r>
      <w:r>
        <w:t xml:space="preserve"> </w:t>
      </w:r>
      <w:r>
        <w:t xml:space="preserve">requires the</w:t>
      </w:r>
      <w:r>
        <w:t xml:space="preserve"> </w:t>
      </w:r>
      <w:r>
        <w:t xml:space="preserve">faithful-versus-emulation choice above.</w:t>
      </w:r>
    </w:p>
    <w:bookmarkEnd w:id="40"/>
    <w:bookmarkEnd w:id="41"/>
    <w:bookmarkStart w:id="42" w:name="conclusion-and-outlook"/>
    <w:p>
      <w:pPr>
        <w:pStyle w:val="Heading1"/>
      </w:pPr>
      <w:r>
        <w:t xml:space="preserve">6. Conclusion and outlook</w:t>
      </w:r>
    </w:p>
    <w:p>
      <w:pPr>
        <w:pStyle w:val="FirstParagraph"/>
      </w:pPr>
      <w:r>
        <w:t xml:space="preserve">With the effective-DOS transport correction every sweep trend reproduces in</w:t>
      </w:r>
      <w:r>
        <w:t xml:space="preserve"> </w:t>
      </w:r>
      <w:r>
        <w:t xml:space="preserve">direction, six of eleven matching SCAPS in magnitude with the remainder partial,</w:t>
      </w:r>
      <w:r>
        <w:t xml:space="preserve"> </w:t>
      </w:r>
      <w:r>
        <w:t xml:space="preserve">and the base operating point agreeing with SCAPS to −50 mV in V</w:t>
      </w:r>
      <w:r>
        <w:rPr>
          <w:vertAlign w:val="subscript"/>
        </w:rPr>
        <w:t xml:space="preserve">oc</w:t>
      </w:r>
      <w:r>
        <w:t xml:space="preserve"> </w:t>
      </w:r>
      <w:r>
        <w:t xml:space="preserve">in the</w:t>
      </w:r>
      <w:r>
        <w:t xml:space="preserve"> </w:t>
      </w:r>
      <w:r>
        <w:t xml:space="preserve">faithful default mode (to within 1 mV in the SCAPS-emulation mode of Section</w:t>
      </w:r>
      <w:r>
        <w:t xml:space="preserve"> </w:t>
      </w:r>
      <w:r>
        <w:t xml:space="preserve">5.3). The base offset is now root-caused to absorber Auger recombination at the</w:t>
      </w:r>
      <w:r>
        <w:t xml:space="preserve"> </w:t>
      </w:r>
      <w:r>
        <w:t xml:space="preserve">HTL/PVK band offset (Section 5.3), not the interface channel as previously</w:t>
      </w:r>
      <w:r>
        <w:t xml:space="preserve"> </w:t>
      </w:r>
      <w:r>
        <w:t xml:space="preserve">believed; SolarLab’s faithful base sits at the measured-device median while</w:t>
      </w:r>
      <w:r>
        <w:t xml:space="preserve"> </w:t>
      </w:r>
      <w:r>
        <w:t xml:space="preserve">SCAPS sits at the champion ceiling, so the two are reconciled by an explicit,</w:t>
      </w:r>
      <w:r>
        <w:t xml:space="preserve"> </w:t>
      </w:r>
      <w:r>
        <w:t xml:space="preserve">flag-gated emulation rather than by degrading either model. Every physically</w:t>
      </w:r>
      <w:r>
        <w:t xml:space="preserve"> </w:t>
      </w:r>
      <w:r>
        <w:t xml:space="preserve">well-posed result satisfies the governing bounds. We recommend the corrected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dos_band_potentials</w:t>
      </w:r>
      <w:r>
        <w:t xml:space="preserve"> </w:t>
      </w:r>
      <w:r>
        <w:t xml:space="preserve">on the SCAPS-mirror device) as the validated baseline.</w:t>
      </w:r>
      <w:r>
        <w:t xml:space="preserve"> </w:t>
      </w:r>
      <w:r>
        <w:t xml:space="preserve">The first structural step toward closing it — the interface-plane closure of</w:t>
      </w:r>
      <w:r>
        <w:t xml:space="preserve"> </w:t>
      </w:r>
      <w:r>
        <w:t xml:space="preserve">Section 5.1 — is now in the codebase behind an explicit flag and improves the</w:t>
      </w:r>
      <w:r>
        <w:t xml:space="preserve"> </w:t>
      </w:r>
      <w:r>
        <w:t xml:space="preserve">HTL/PVK interface response from flat to 70 % of SCAPS without degrading any</w:t>
      </w:r>
      <w:r>
        <w:t xml:space="preserve"> </w:t>
      </w:r>
      <w:r>
        <w:t xml:space="preserve">matched trend. That steady-state solve has since been built (Section 5.2): the two</w:t>
      </w:r>
      <w:r>
        <w:t xml:space="preserve"> </w:t>
      </w:r>
      <w:r>
        <w:t xml:space="preserve">solution methods now cross-validate within 5 mV, the voltage-grid artefact is</w:t>
      </w:r>
      <w:r>
        <w:t xml:space="preserve"> </w:t>
      </w:r>
      <w:r>
        <w:t xml:space="preserve">eliminated, and the low-doping arm is settled as a model-convention</w:t>
      </w:r>
      <w:r>
        <w:t xml:space="preserve"> </w:t>
      </w:r>
      <w:r>
        <w:t xml:space="preserve">difference rather than a solver limitation. The remaining open items (ETL</w:t>
      </w:r>
      <w:r>
        <w:t xml:space="preserve"> </w:t>
      </w:r>
      <w:r>
        <w:t xml:space="preserve">doping arm, PVK/ETL trap-energy magnitude, residual base offset) all trace to</w:t>
      </w:r>
      <w:r>
        <w:t xml:space="preserve"> </w:t>
      </w:r>
      <w:r>
        <w:t xml:space="preserve">SCAPS-specific model conventions — reproducing them is a well-scoped, separate</w:t>
      </w:r>
      <w:r>
        <w:t xml:space="preserve"> </w:t>
      </w:r>
      <w:r>
        <w:t xml:space="preserve">undertaking should closer absolute agreement be required. The transient</w:t>
      </w:r>
      <w:r>
        <w:t xml:space="preserve"> </w:t>
      </w:r>
      <w:r>
        <w:t xml:space="preserve">ion-migration capability — which SCAPS does not offer — is unaffected</w:t>
      </w:r>
      <w:r>
        <w:t xml:space="preserve"> </w:t>
      </w:r>
      <w:r>
        <w:t xml:space="preserve">throughout.</w:t>
      </w:r>
    </w:p>
    <w:bookmarkEnd w:id="42"/>
    <w:bookmarkStart w:id="43" w:name="appendix-a-reproducibility"/>
    <w:p>
      <w:pPr>
        <w:pStyle w:val="Heading1"/>
      </w:pPr>
      <w:r>
        <w:t xml:space="preserve">Appendix A: Reproducibility</w:t>
      </w:r>
    </w:p>
    <w:p>
      <w:pPr>
        <w:pStyle w:val="SourceCode"/>
      </w:pPr>
      <w:r>
        <w:rPr>
          <w:rStyle w:val="VerbatimChar"/>
        </w:rPr>
        <w:t xml:space="preserve">cd perovskite-sim</w:t>
      </w:r>
      <w:r>
        <w:br/>
      </w:r>
      <w:r>
        <w:rPr>
          <w:rStyle w:val="VerbatimChar"/>
        </w:rPr>
        <w:t xml:space="preserve">SOLARLAB_DOS_BAND=1 python scripts/run_scaps_full_regression.py \</w:t>
      </w:r>
      <w:r>
        <w:br/>
      </w:r>
      <w:r>
        <w:rPr>
          <w:rStyle w:val="VerbatimChar"/>
        </w:rPr>
        <w:t xml:space="preserve">    --out-dir outputs/full_dos_ON          # 10-sweep trend verdicts</w:t>
      </w:r>
      <w:r>
        <w:br/>
      </w:r>
      <w:r>
        <w:rPr>
          <w:rStyle w:val="VerbatimChar"/>
        </w:rPr>
        <w:t xml:space="preserve">SOLARLAB_DOS_BAND=1 python scripts/run_scaps_validation.py \</w:t>
      </w:r>
      <w:r>
        <w:br/>
      </w:r>
      <w:r>
        <w:rPr>
          <w:rStyle w:val="VerbatimChar"/>
        </w:rPr>
        <w:t xml:space="preserve">    --config configs/scaps_mirror_v2.yaml --out-dir outputs/dos_ON</w:t>
      </w:r>
      <w:r>
        <w:br/>
      </w:r>
      <w:r>
        <w:rPr>
          <w:rStyle w:val="VerbatimChar"/>
        </w:rPr>
        <w:t xml:space="preserve">SOLARLAB_DOS_BAND=1 python scripts/scaps_validation_figures.py \</w:t>
      </w:r>
      <w:r>
        <w:br/>
      </w:r>
      <w:r>
        <w:rPr>
          <w:rStyle w:val="VerbatimChar"/>
        </w:rPr>
        <w:t xml:space="preserve">    --out ../docs/figures/scaps_validation   # regenerate the overlays</w:t>
      </w:r>
    </w:p>
    <w:p>
      <w:pPr>
        <w:pStyle w:val="FirstParagraph"/>
      </w:pPr>
      <w:r>
        <w:t xml:space="preserve">Full technical detail is in</w:t>
      </w:r>
      <w:r>
        <w:t xml:space="preserve"> </w:t>
      </w:r>
      <w:r>
        <w:rPr>
          <w:rStyle w:val="VerbatimChar"/>
        </w:rPr>
        <w:t xml:space="preserve">docs/scaps_validation_report.md</w:t>
      </w:r>
      <w:r>
        <w:t xml:space="preserve">; the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root-cause analysis is in</w:t>
      </w:r>
      <w:r>
        <w:t xml:space="preserve"> </w:t>
      </w:r>
      <w:r>
        <w:rPr>
          <w:rStyle w:val="VerbatimChar"/>
        </w:rPr>
        <w:t xml:space="preserve">SolarLab_SCAPS_gap_analysis_corrected.pdf</w:t>
      </w:r>
      <w:r>
        <w:t xml:space="preserve">.</w:t>
      </w:r>
    </w:p>
    <w:bookmarkEnd w:id="43"/>
    <w:bookmarkStart w:id="44" w:name="X8aeae421bbd1e89212f1b13ef0b4db982a0e6a9"/>
    <w:p>
      <w:pPr>
        <w:pStyle w:val="Heading1"/>
      </w:pPr>
      <w:r>
        <w:t xml:space="preserve">Appendix B: Reference results with the transport correction 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t xml:space="preserve">SolarLab range (off)</w:t>
            </w:r>
          </w:p>
        </w:tc>
        <w:tc>
          <w:p>
            <w:pPr>
              <w:pStyle w:val="Compact"/>
              <w:jc w:val="left"/>
            </w:pPr>
            <w:r>
              <w:t xml:space="preserve">SCAPS range</w:t>
            </w:r>
          </w:p>
        </w:tc>
        <w:tc>
          <w:p>
            <w:pPr>
              <w:pStyle w:val="Compact"/>
              <w:jc w:val="left"/>
            </w:pPr>
            <w:r>
              <w:t xml:space="preserve">Verdict (off)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ETL/PVK conduction-band offset</w:t>
            </w:r>
          </w:p>
        </w:tc>
        <w:tc>
          <w:p>
            <w:pPr>
              <w:pStyle w:val="Compact"/>
              <w:jc w:val="left"/>
            </w:pPr>
            <w:r>
              <w:t xml:space="preserve">780 mV</w:t>
            </w:r>
          </w:p>
        </w:tc>
        <w:tc>
          <w:p>
            <w:pPr>
              <w:pStyle w:val="Compact"/>
              <w:jc w:val="left"/>
            </w:pPr>
            <w:r>
              <w:t xml:space="preserve">918 mV</w:t>
            </w:r>
          </w:p>
        </w:tc>
        <w:tc>
          <w:p>
            <w:pPr>
              <w:pStyle w:val="Compact"/>
              <w:jc w:val="left"/>
            </w:pPr>
            <w:r>
              <w:t xml:space="preserve">match (85 %)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 donor doping</w:t>
            </w:r>
          </w:p>
        </w:tc>
        <w:tc>
          <w:p>
            <w:pPr>
              <w:pStyle w:val="Compact"/>
              <w:jc w:val="left"/>
            </w:pPr>
            <w:r>
              <w:t xml:space="preserve">35 mV</w:t>
            </w:r>
          </w:p>
        </w:tc>
        <w:tc>
          <w:p>
            <w:pPr>
              <w:pStyle w:val="Compact"/>
              <w:jc w:val="left"/>
            </w:pPr>
            <w:r>
              <w:t xml:space="preserve">34 mV</w:t>
            </w:r>
          </w:p>
        </w:tc>
        <w:tc>
          <w:p>
            <w:pPr>
              <w:pStyle w:val="Compact"/>
              <w:jc w:val="left"/>
            </w:pPr>
            <w:r>
              <w:t xml:space="preserve">direction mismatch at 10</w:t>
            </w:r>
            <w:r>
              <w:rPr>
                <w:vertAlign w:val="superscript"/>
              </w:rP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PVK/ETL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203 mV</w:t>
            </w:r>
          </w:p>
        </w:tc>
        <w:tc>
          <w:p>
            <w:pPr>
              <w:pStyle w:val="Compact"/>
              <w:jc w:val="left"/>
            </w:pPr>
            <w:r>
              <w:t xml:space="preserve">282 mV</w:t>
            </w:r>
          </w:p>
        </w:tc>
        <w:tc>
          <w:p>
            <w:pPr>
              <w:pStyle w:val="Compact"/>
              <w:jc w:val="left"/>
            </w:pPr>
            <w:r>
              <w:t xml:space="preserve">match (72 %)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PVK/ETL interface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8 mV</w:t>
            </w:r>
          </w:p>
        </w:tc>
        <w:tc>
          <w:p>
            <w:pPr>
              <w:pStyle w:val="Compact"/>
              <w:jc w:val="left"/>
            </w:pPr>
            <w:r>
              <w:t xml:space="preserve">35 mV</w:t>
            </w:r>
          </w:p>
        </w:tc>
        <w:tc>
          <w:p>
            <w:pPr>
              <w:pStyle w:val="Compact"/>
              <w:jc w:val="left"/>
            </w:pPr>
            <w:r>
              <w:t xml:space="preserve">weak (22 %)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ETL donor doping</w:t>
            </w:r>
          </w:p>
        </w:tc>
        <w:tc>
          <w:p>
            <w:pPr>
              <w:pStyle w:val="Compact"/>
              <w:jc w:val="left"/>
            </w:pPr>
            <w:r>
              <w:t xml:space="preserve">23 mV</w:t>
            </w:r>
          </w:p>
        </w:tc>
        <w:tc>
          <w:p>
            <w:pPr>
              <w:pStyle w:val="Compact"/>
              <w:jc w:val="left"/>
            </w:pPr>
            <w:r>
              <w:t xml:space="preserve">100 mV</w:t>
            </w:r>
          </w:p>
        </w:tc>
        <w:tc>
          <w:p>
            <w:pPr>
              <w:pStyle w:val="Compact"/>
              <w:jc w:val="left"/>
            </w:pPr>
            <w:r>
              <w:t xml:space="preserve">open (flat vs rising)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HTL/PVK interface N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0 mV</w:t>
            </w:r>
          </w:p>
        </w:tc>
        <w:tc>
          <w:p>
            <w:pPr>
              <w:pStyle w:val="Compact"/>
              <w:jc w:val="left"/>
            </w:pPr>
            <w:r>
              <w:t xml:space="preserve">5 mV</w:t>
            </w:r>
          </w:p>
        </w:tc>
        <w:tc>
          <w:p>
            <w:pPr>
              <w:pStyle w:val="Compact"/>
              <w:jc w:val="left"/>
            </w:pPr>
            <w:r>
              <w:t xml:space="preserve">near-flat 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bulk N</w:t>
            </w:r>
            <w:r>
              <w:rPr>
                <w:vertAlign w:val="subscript"/>
              </w:rPr>
              <w:t xml:space="preserve">t</w:t>
            </w:r>
            <w:r>
              <w:t xml:space="preserve"> </w:t>
            </w:r>
            <w:r>
              <w:t xml:space="preserve">(CB/VB)</w:t>
            </w:r>
          </w:p>
        </w:tc>
        <w:tc>
          <w:p>
            <w:pPr>
              <w:pStyle w:val="Compact"/>
              <w:jc w:val="left"/>
            </w:pPr>
            <w:r>
              <w:t xml:space="preserve">65 mV</w:t>
            </w:r>
          </w:p>
        </w:tc>
        <w:tc>
          <w:p>
            <w:pPr>
              <w:pStyle w:val="Compact"/>
              <w:jc w:val="left"/>
            </w:pPr>
            <w:r>
              <w:t xml:space="preserve">39/11 mV</w:t>
            </w:r>
          </w:p>
        </w:tc>
        <w:tc>
          <w:p>
            <w:pPr>
              <w:pStyle w:val="Compact"/>
              <w:jc w:val="left"/>
            </w:pPr>
            <w:r>
              <w:t xml:space="preserve">over-responds (less masked)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bulk + HTL/PVK E</w:t>
            </w:r>
            <w:r>
              <w:rPr>
                <w:vertAlign w:val="subscript"/>
              </w:rPr>
              <w:t xml:space="preserve">t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2 mV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0.4 mV</w:t>
            </w:r>
          </w:p>
        </w:tc>
        <w:tc>
          <w:p>
            <w:pPr>
              <w:pStyle w:val="Compact"/>
              <w:jc w:val="left"/>
            </w:pPr>
            <w:r>
              <w:t xml:space="preserve">flat both</w:t>
            </w:r>
          </w:p>
        </w:tc>
      </w:tr>
    </w:tbl>
    <w:p>
      <w:pPr>
        <w:pStyle w:val="BodyText"/>
      </w:pPr>
      <w:r>
        <w:t xml:space="preserve">Table 3. Flag-off reference (base V</w:t>
      </w:r>
      <w:r>
        <w:rPr>
          <w:vertAlign w:val="subscript"/>
        </w:rPr>
        <w:t xml:space="preserve">oc</w:t>
      </w:r>
      <w:r>
        <w:t xml:space="preserve"> </w:t>
      </w:r>
      <w:r>
        <w:t xml:space="preserve">1.079 V at the corrected grid). The</w:t>
      </w:r>
      <w:r>
        <w:t xml:space="preserve"> </w:t>
      </w:r>
      <w:r>
        <w:t xml:space="preserve">correction improves the base absolutes and the PVK-doping direction at the cost</w:t>
      </w:r>
      <w:r>
        <w:t xml:space="preserve"> </w:t>
      </w:r>
      <w:r>
        <w:t xml:space="preserve">of some interface-sweep closure; directions are preserved throughout. Note the</w:t>
      </w:r>
      <w:r>
        <w:t xml:space="preserve"> </w:t>
      </w:r>
      <w:r>
        <w:t xml:space="preserve">bulk-N</w:t>
      </w:r>
      <w:r>
        <w:rPr>
          <w:vertAlign w:val="subscript"/>
        </w:rPr>
        <w:t xml:space="preserve">t</w:t>
      </w:r>
      <w:r>
        <w:t xml:space="preserve"> </w:t>
      </w:r>
      <w:r>
        <w:t xml:space="preserve">sweep</w:t>
      </w:r>
      <w:r>
        <w:t xml:space="preserve"> </w:t>
      </w:r>
      <w:r>
        <w:rPr>
          <w:iCs/>
          <w:i/>
        </w:rPr>
        <w:t xml:space="preserve">over</w:t>
      </w:r>
      <w:r>
        <w:t xml:space="preserve">-responds with the transport correction off (65 mV vs the</w:t>
      </w:r>
      <w:r>
        <w:t xml:space="preserve"> </w:t>
      </w:r>
      <w:r>
        <w:t xml:space="preserve">SCAPS 39/11 mV): the lower flag-off V</w:t>
      </w:r>
      <w:r>
        <w:rPr>
          <w:vertAlign w:val="subscript"/>
        </w:rPr>
        <w:t xml:space="preserve">oc</w:t>
      </w:r>
      <w:r>
        <w:t xml:space="preserve"> </w:t>
      </w:r>
      <w:r>
        <w:t xml:space="preserve">baseline sits further from the</w:t>
      </w:r>
      <w:r>
        <w:t xml:space="preserve"> </w:t>
      </w:r>
      <w:r>
        <w:t xml:space="preserve">interface-recombination ceiling, so the bulk traps are less masked there — the</w:t>
      </w:r>
      <w:r>
        <w:t xml:space="preserve"> </w:t>
      </w:r>
      <w:r>
        <w:t xml:space="preserve">corrected-configuration 4 mV (Table 2) is the physically consistent value.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2" Target="media/rId32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 of the SolarLab Device Simulator against SCAPS-1D — Transient (f = 0.53 / 0.66) vs Steady-State Interface-States Comparison</dc:title>
  <dc:creator/>
  <cp:keywords/>
  <dcterms:created xsi:type="dcterms:W3CDTF">2026-06-22T10:12:03Z</dcterms:created>
  <dcterms:modified xsi:type="dcterms:W3CDTF">2026-06-22T10:12:03Z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2026-06-22</vt:lpwstr>
  </property>
  <property fmtid="{D5CDD505-2E9C-101B-9397-08002B2CF9AE}" pid="3" name="header-includes">
    <vt:lpwstr/>
  </property>
</Properties>
</file>