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44.png" ContentType="image/png"/>
  <Override PartName="/word/media/rId46.png" ContentType="image/png"/>
  <Override PartName="/word/media/rId47.png" ContentType="image/png"/>
  <Override PartName="/word/media/rId45.png" ContentType="image/png"/>
  <Override PartName="/word/media/rId34.png" ContentType="image/png"/>
  <Override PartName="/word/media/rId36.png" ContentType="image/png"/>
  <Override PartName="/word/media/rId38.png" ContentType="image/png"/>
  <Override PartName="/word/media/rId41.png" ContentType="image/png"/>
  <Override PartName="/word/media/rId42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SolarLab</w:t>
      </w:r>
      <w:r>
        <w:t xml:space="preserve"> </w:t>
      </w:r>
      <w:r>
        <w:t xml:space="preserve">versus</w:t>
      </w:r>
      <w:r>
        <w:t xml:space="preserve"> </w:t>
      </w:r>
      <w:r>
        <w:t xml:space="preserve">SCAPS-1D</w:t>
      </w:r>
      <w:r>
        <w:t xml:space="preserve"> </w:t>
      </w:r>
      <w:r>
        <w:t xml:space="preserve">across</w:t>
      </w:r>
      <w:r>
        <w:t xml:space="preserve"> </w:t>
      </w:r>
      <w:r>
        <w:t xml:space="preserve">Eleven</w:t>
      </w:r>
      <w:r>
        <w:t xml:space="preserve"> </w:t>
      </w:r>
      <w:r>
        <w:t xml:space="preserve">Parametric</w:t>
      </w:r>
      <w:r>
        <w:t xml:space="preserve"> </w:t>
      </w:r>
      <w:r>
        <w:t xml:space="preserve">Sweeps:</w:t>
      </w:r>
      <w:r>
        <w:t xml:space="preserve"> </w:t>
      </w:r>
      <w:r>
        <w:t xml:space="preserve">A</w:t>
      </w:r>
      <w:r>
        <w:t xml:space="preserve"> </w:t>
      </w:r>
      <w:r>
        <w:t xml:space="preserve">Physical-Model</w:t>
      </w:r>
      <w:r>
        <w:t xml:space="preserve"> </w:t>
      </w:r>
      <w:r>
        <w:t xml:space="preserve">and</w:t>
      </w:r>
      <w:r>
        <w:t xml:space="preserve"> </w:t>
      </w:r>
      <w:r>
        <w:t xml:space="preserve">Numerical-Algorithm</w:t>
      </w:r>
      <w:r>
        <w:t xml:space="preserve"> </w:t>
      </w:r>
      <w:r>
        <w:t xml:space="preserve">Analysis</w:t>
      </w:r>
    </w:p>
    <w:p>
      <w:pPr>
        <w:pStyle w:val="Date"/>
      </w:pPr>
      <w:r>
        <w:t xml:space="preserve">2026-07-02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We compare the SolarLab one-dimensional drift–diffusion simulator against the</w:t>
      </w:r>
      <w:r>
        <w:t xml:space="preserve"> </w:t>
      </w:r>
      <w:r>
        <w:t xml:space="preserve">SCAPS-1D reference solver across eleven single-variable parameter sweeps of the</w:t>
      </w:r>
      <w:r>
        <w:t xml:space="preserve"> </w:t>
      </w:r>
      <w:r>
        <w:t xml:space="preserve">same</w:t>
      </w:r>
      <w:r>
        <w:t xml:space="preserve"> </w:t>
      </w:r>
      <m:oMath>
        <m:r>
          <m:t>n</m:t>
        </m:r>
      </m:oMath>
      <w:r>
        <w:t xml:space="preserve">–</w:t>
      </w:r>
      <m:oMath>
        <m:r>
          <m:t>i</m:t>
        </m:r>
      </m:oMath>
      <w:r>
        <w:t xml:space="preserve">–</w:t>
      </w:r>
      <m:oMath>
        <m:r>
          <m:t>p</m:t>
        </m:r>
      </m:oMath>
      <w:r>
        <w:t xml:space="preserve"> </w:t>
      </w:r>
      <w:r>
        <w:t xml:space="preserve">perovskite device (</w:t>
      </w:r>
      <w:r>
        <w:rPr>
          <w:rStyle w:val="VerbatimChar"/>
        </w:rPr>
        <w:t xml:space="preserve">scaps_mirror_v2</w:t>
      </w:r>
      <w:r>
        <w:t xml:space="preserve">: spiro-OMeTAD / MAPbI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/ TiO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). Each figure overlays the two solvers on the four figures of merit</w:t>
      </w:r>
      <w:r>
        <w:t xml:space="preserve"> </w:t>
      </w:r>
      <w:r>
        <w:t xml:space="preserve">(</w:t>
      </w:r>
      <m:oMath>
        <m:sSub>
          <m:e>
            <m:r>
              <m:t>V</m:t>
            </m:r>
          </m:e>
          <m:sub>
            <m:r>
              <m:t>o</m:t>
            </m:r>
            <m:r>
              <m:t>c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J</m:t>
            </m:r>
          </m:e>
          <m:sub>
            <m:r>
              <m:t>s</m:t>
            </m:r>
            <m:r>
              <m:t>c</m:t>
            </m:r>
          </m:sub>
        </m:sSub>
      </m:oMath>
      <w:r>
        <w:t xml:space="preserve">, FF, PCE); the SolarLab curve is its transient</w:t>
      </w:r>
      <w:r>
        <w:t xml:space="preserve"> </w:t>
      </w:r>
      <w:r>
        <w:t xml:space="preserve">drift–diffusion solution with the calibrated SCAPS-emulation de-spike fraction</w:t>
      </w:r>
      <w:r>
        <w:t xml:space="preserve"> </w:t>
      </w:r>
      <w:r>
        <w:t xml:space="preserve">(</w:t>
      </w:r>
      <m:oMath>
        <m:r>
          <m:t>f</m:t>
        </m:r>
        <m:r>
          <m:rPr>
            <m:sty m:val="p"/>
          </m:rPr>
          <m:t>=</m:t>
        </m:r>
        <m:r>
          <m:t>0.53</m:t>
        </m:r>
      </m:oMath>
      <w:r>
        <w:t xml:space="preserve">). The analysis is deliberately restricted to two questions:</w:t>
      </w:r>
      <w:r>
        <w:t xml:space="preserve"> </w:t>
      </w:r>
      <w:r>
        <w:rPr>
          <w:iCs/>
          <w:i/>
        </w:rPr>
        <w:t xml:space="preserve">which</w:t>
      </w:r>
      <w:r>
        <w:rPr>
          <w:iCs/>
          <w:i/>
        </w:rPr>
        <w:t xml:space="preserve"> </w:t>
      </w:r>
      <w:r>
        <w:rPr>
          <w:iCs/>
          <w:i/>
        </w:rPr>
        <w:t xml:space="preserve">physical model</w:t>
      </w:r>
      <w:r>
        <w:t xml:space="preserve"> </w:t>
      </w:r>
      <w:r>
        <w:t xml:space="preserve">governs each sweep, and</w:t>
      </w:r>
      <w:r>
        <w:t xml:space="preserve"> </w:t>
      </w:r>
      <w:r>
        <w:rPr>
          <w:iCs/>
          <w:i/>
        </w:rPr>
        <w:t xml:space="preserve">how the numerical algorithm</w:t>
      </w:r>
      <w:r>
        <w:t xml:space="preserve"> </w:t>
      </w:r>
      <w:r>
        <w:t xml:space="preserve">of each</w:t>
      </w:r>
      <w:r>
        <w:t xml:space="preserve"> </w:t>
      </w:r>
      <w:r>
        <w:t xml:space="preserve">solver shapes the result. We find that the two codes agree on the trend</w:t>
      </w:r>
      <w:r>
        <w:t xml:space="preserve"> </w:t>
      </w:r>
      <w:r>
        <w:t xml:space="preserve">direction of ten of the eleven sweeps and on the four base figures of merit to within a</w:t>
      </w:r>
      <w:r>
        <w:t xml:space="preserve"> </w:t>
      </w:r>
      <w:r>
        <w:t xml:space="preserve">few percent (the one exception, the HTL/PVK interface-defect-density sweep, is</w:t>
      </w:r>
      <w:r>
        <w:t xml:space="preserve"> </w:t>
      </w:r>
      <w:r>
        <w:t xml:space="preserve">flat in the transient against a small ~5 mV SCAPS response — a</w:t>
      </w:r>
      <w:r>
        <w:t xml:space="preserve"> </w:t>
      </w:r>
      <w:r>
        <w:t xml:space="preserve">discretisation limitation, cause iv below); every residual is attributable to one of five</w:t>
      </w:r>
      <w:r>
        <w:t xml:space="preserve"> </w:t>
      </w:r>
      <w:r>
        <w:t xml:space="preserve">identified model or algorithm differences: (i) the optical model (SolarLab’s</w:t>
      </w:r>
      <w:r>
        <w:t xml:space="preserve"> </w:t>
      </w:r>
      <w:r>
        <w:t xml:space="preserve">coherent transfer-matrix optics versus SCAPS’s scalar-absorption treatment),</w:t>
      </w:r>
      <w:r>
        <w:t xml:space="preserve"> </w:t>
      </w:r>
      <w:r>
        <w:t xml:space="preserve">which sets a flat ~2%</w:t>
      </w:r>
      <w:r>
        <w:t xml:space="preserve"> </w:t>
      </w:r>
      <m:oMath>
        <m:sSub>
          <m:e>
            <m:r>
              <m:t>J</m:t>
            </m:r>
          </m:e>
          <m:sub>
            <m:r>
              <m:t>s</m:t>
            </m:r>
            <m:r>
              <m:t>c</m:t>
            </m:r>
          </m:sub>
        </m:sSub>
      </m:oMath>
      <w:r>
        <w:t xml:space="preserve"> </w:t>
      </w:r>
      <w:r>
        <w:t xml:space="preserve">offset; (ii) the contact boundary condition</w:t>
      </w:r>
      <w:r>
        <w:t xml:space="preserve"> </w:t>
      </w:r>
      <w:r>
        <w:t xml:space="preserve">(the ideal ohmic Dirichlet pin versus a finite-recombination flat-band metal</w:t>
      </w:r>
      <w:r>
        <w:t xml:space="preserve"> </w:t>
      </w:r>
      <w:r>
        <w:t xml:space="preserve">contact), which governs the weakly-doped-contact regime; (iii) the</w:t>
      </w:r>
      <w:r>
        <w:t xml:space="preserve"> </w:t>
      </w:r>
      <w:r>
        <w:t xml:space="preserve">heterointerface transport treatment (thermionic-emission-capped Scharfetter–Gummel</w:t>
      </w:r>
      <w:r>
        <w:t xml:space="preserve"> </w:t>
      </w:r>
      <w:r>
        <w:t xml:space="preserve">flux versus SCAPS’s interface model), which sets the conduction-band-offset spike</w:t>
      </w:r>
      <w:r>
        <w:t xml:space="preserve"> </w:t>
      </w:r>
      <w:r>
        <w:t xml:space="preserve">threshold; (iv) the sampling of interface recombination at bulk grid nodes rather</w:t>
      </w:r>
      <w:r>
        <w:t xml:space="preserve"> </w:t>
      </w:r>
      <w:r>
        <w:t xml:space="preserve">than on the interface plane, which under-resolves one interface-defect response in</w:t>
      </w:r>
      <w:r>
        <w:t xml:space="preserve"> </w:t>
      </w:r>
      <w:r>
        <w:t xml:space="preserve">the transient; and (v) the solution algorithm itself (SolarLab’s time-dependent</w:t>
      </w:r>
      <w:r>
        <w:t xml:space="preserve"> </w:t>
      </w:r>
      <w:r>
        <w:t xml:space="preserve">method-of-lines integration to steady state versus SCAPS’s Gummel-iterated</w:t>
      </w:r>
      <w:r>
        <w:t xml:space="preserve"> </w:t>
      </w:r>
      <w:r>
        <w:t xml:space="preserve">steady-state solve), which determines whether the open-circuit voltage is</w:t>
      </w:r>
      <w:r>
        <w:t xml:space="preserve"> </w:t>
      </w:r>
      <w:r>
        <w:t xml:space="preserve">bracketed at all in near-degenerate regimes.</w:t>
      </w:r>
    </w:p>
    <w:bookmarkEnd w:id="20"/>
    <w:bookmarkStart w:id="21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A device simulator earns trust in two stages. The first, reported separately, is</w:t>
      </w:r>
      <w:r>
        <w:t xml:space="preserve"> </w:t>
      </w:r>
      <w:r>
        <w:t xml:space="preserve">an</w:t>
      </w:r>
      <w:r>
        <w:t xml:space="preserve"> </w:t>
      </w:r>
      <w:r>
        <w:rPr>
          <w:iCs/>
          <w:i/>
        </w:rPr>
        <w:t xml:space="preserve">internal</w:t>
      </w:r>
      <w:r>
        <w:t xml:space="preserve"> </w:t>
      </w:r>
      <w:r>
        <w:t xml:space="preserve">verification that the solver obeys the conservation laws and</w:t>
      </w:r>
      <w:r>
        <w:t xml:space="preserve"> </w:t>
      </w:r>
      <w:r>
        <w:t xml:space="preserve">boundary conditions of drift–diffusion on a single operating point. The second,</w:t>
      </w:r>
      <w:r>
        <w:t xml:space="preserve"> </w:t>
      </w:r>
      <w:r>
        <w:t xml:space="preserve">reported here, is an</w:t>
      </w:r>
      <w:r>
        <w:t xml:space="preserve"> </w:t>
      </w:r>
      <w:r>
        <w:rPr>
          <w:iCs/>
          <w:i/>
        </w:rPr>
        <w:t xml:space="preserve">external</w:t>
      </w:r>
      <w:r>
        <w:t xml:space="preserve"> </w:t>
      </w:r>
      <w:r>
        <w:t xml:space="preserve">comparison against an independent, widely-used</w:t>
      </w:r>
      <w:r>
        <w:t xml:space="preserve"> </w:t>
      </w:r>
      <w:r>
        <w:t xml:space="preserve">reference solver (SCAPS-1D) across a broad parametric envelope, so that the two</w:t>
      </w:r>
      <w:r>
        <w:t xml:space="preserve"> </w:t>
      </w:r>
      <w:r>
        <w:t xml:space="preserve">codes are forced to agree not on one number but on the</w:t>
      </w:r>
      <w:r>
        <w:t xml:space="preserve"> </w:t>
      </w:r>
      <w:r>
        <w:rPr>
          <w:iCs/>
          <w:i/>
        </w:rPr>
        <w:t xml:space="preserve">response</w:t>
      </w:r>
      <w:r>
        <w:t xml:space="preserve"> </w:t>
      </w:r>
      <w:r>
        <w:t xml:space="preserve">of the device</w:t>
      </w:r>
      <w:r>
        <w:t xml:space="preserve"> </w:t>
      </w:r>
      <w:r>
        <w:t xml:space="preserve">to eleven independent physical perturbations: the electron-transport-layer (ETL)</w:t>
      </w:r>
      <w:r>
        <w:t xml:space="preserve"> </w:t>
      </w:r>
      <w:r>
        <w:t xml:space="preserve">conduction-band offset, the ETL and absorber doping, and the density and energy</w:t>
      </w:r>
      <w:r>
        <w:t xml:space="preserve"> </w:t>
      </w:r>
      <w:r>
        <w:t xml:space="preserve">level of bulk and interface defects.</w:t>
      </w:r>
    </w:p>
    <w:p>
      <w:pPr>
        <w:pStyle w:val="BodyText"/>
      </w:pPr>
      <w:r>
        <w:t xml:space="preserve">Two solvers can agree on a terminal figure of merit while disagreeing on the</w:t>
      </w:r>
      <w:r>
        <w:t xml:space="preserve"> </w:t>
      </w:r>
      <w:r>
        <w:t xml:space="preserve">physics that produced it, and can disagree on a terminal figure of merit while</w:t>
      </w:r>
      <w:r>
        <w:t xml:space="preserve"> </w:t>
      </w:r>
      <w:r>
        <w:t xml:space="preserve">implementing identical physics, purely because their numerical methods sample the</w:t>
      </w:r>
      <w:r>
        <w:t xml:space="preserve"> </w:t>
      </w:r>
      <w:r>
        <w:t xml:space="preserve">solution differently. We therefore read every sweep through two lenses — the</w:t>
      </w:r>
      <w:r>
        <w:t xml:space="preserve"> </w:t>
      </w:r>
      <w:r>
        <w:t xml:space="preserve">physical model and the numerical algorithm — and attribute each agreement or</w:t>
      </w:r>
      <w:r>
        <w:t xml:space="preserve"> </w:t>
      </w:r>
      <w:r>
        <w:t xml:space="preserve">deviation to a specific, named cause. Section 2 states the physical models of the</w:t>
      </w:r>
      <w:r>
        <w:t xml:space="preserve"> </w:t>
      </w:r>
      <w:r>
        <w:t xml:space="preserve">two codes and where they differ; Section 3 does the same for the numerical</w:t>
      </w:r>
      <w:r>
        <w:t xml:space="preserve"> </w:t>
      </w:r>
      <w:r>
        <w:t xml:space="preserve">algorithms; Section 4 presents the eleven sweeps and interprets each; Section 5</w:t>
      </w:r>
      <w:r>
        <w:t xml:space="preserve"> </w:t>
      </w:r>
      <w:r>
        <w:t xml:space="preserve">consolidates the attribution; Section 6 concludes.</w:t>
      </w:r>
    </w:p>
    <w:bookmarkEnd w:id="21"/>
    <w:bookmarkStart w:id="27" w:name="physical-models"/>
    <w:p>
      <w:pPr>
        <w:pStyle w:val="Heading2"/>
      </w:pPr>
      <w:r>
        <w:t xml:space="preserve">2. Physical models</w:t>
      </w:r>
    </w:p>
    <w:bookmarkStart w:id="22" w:name="governing-equations"/>
    <w:p>
      <w:pPr>
        <w:pStyle w:val="Heading3"/>
      </w:pPr>
      <w:r>
        <w:t xml:space="preserve">2.1 Governing equations</w:t>
      </w:r>
    </w:p>
    <w:p>
      <w:pPr>
        <w:pStyle w:val="FirstParagraph"/>
      </w:pPr>
      <w:r>
        <w:t xml:space="preserve">Both codes solve the same electrostatics and carrier transport: Poisson’s</w:t>
      </w:r>
      <w:r>
        <w:t xml:space="preserve"> </w:t>
      </w:r>
      <w:r>
        <w:t xml:space="preserve">equation for the electrostatic potential coupled to the electron and hole</w:t>
      </w:r>
      <w:r>
        <w:t xml:space="preserve"> </w:t>
      </w:r>
      <w:r>
        <w:t xml:space="preserve">continuity equations with drift–diffusion (Scharfetter–Gummel) fluxes,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t>​</m:t>
          </m:r>
          <m:r>
            <m:rPr>
              <m:sty m:val="p"/>
            </m:rPr>
            <m:t>⋅</m:t>
          </m:r>
          <m:r>
            <m:t>​</m:t>
          </m:r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∇</m:t>
          </m:r>
          <m:r>
            <m:t>φ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q</m:t>
          </m:r>
          <m:r>
            <m:t> 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−</m:t>
          </m:r>
          <m:r>
            <m:t>n</m:t>
          </m:r>
          <m:r>
            <m:rPr>
              <m:sty m:val="p"/>
            </m:rPr>
            <m:t>+</m:t>
          </m:r>
          <m:sSubSup>
            <m:e>
              <m:r>
                <m:t>N</m:t>
              </m:r>
            </m:e>
            <m:sub>
              <m:r>
                <m:t>D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N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n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∇</m:t>
          </m:r>
          <m:r>
            <m:t>​</m:t>
          </m:r>
          <m:r>
            <m:rPr>
              <m:sty m:val="p"/>
            </m:rPr>
            <m:t>⋅</m:t>
          </m:r>
          <m:r>
            <m:t>​</m:t>
          </m:r>
          <m:sSub>
            <m:e>
              <m:r>
                <m:rPr>
                  <m:sty m:val="b"/>
                </m:rPr>
                <m:t>J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+</m:t>
          </m:r>
          <m:r>
            <m:t>G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p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∇</m:t>
          </m:r>
          <m:r>
            <m:t>​</m:t>
          </m:r>
          <m:r>
            <m:rPr>
              <m:sty m:val="p"/>
            </m:rPr>
            <m:t>⋅</m:t>
          </m:r>
          <m:r>
            <m:t>​</m:t>
          </m:r>
          <m:sSub>
            <m:e>
              <m:r>
                <m:rPr>
                  <m:sty m:val="b"/>
                </m:rPr>
                <m:t>J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G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SCAPS is an ion-free steady-state solver, so the parity quantities are defined at</w:t>
      </w:r>
      <w:r>
        <w:t xml:space="preserve"> </w:t>
      </w:r>
      <w:r>
        <w:t xml:space="preserve">the ion-free steady state. SolarLab additionally carries mobile ionic species;</w:t>
      </w:r>
      <w:r>
        <w:t xml:space="preserve"> </w:t>
      </w:r>
      <w:r>
        <w:t xml:space="preserve">for this comparison the ions are frozen at their illuminated-equilibrium profile</w:t>
      </w:r>
      <w:r>
        <w:t xml:space="preserve"> </w:t>
      </w:r>
      <w:r>
        <w:t xml:space="preserve">so that both codes solve the same electronic problem. This is a methodological</w:t>
      </w:r>
      <w:r>
        <w:t xml:space="preserve"> </w:t>
      </w:r>
      <w:r>
        <w:t xml:space="preserve">choice, not a model difference: it removes the one degree of freedom SCAPS does</w:t>
      </w:r>
      <w:r>
        <w:t xml:space="preserve"> </w:t>
      </w:r>
      <w:r>
        <w:t xml:space="preserve">not possess.</w:t>
      </w:r>
    </w:p>
    <w:bookmarkEnd w:id="22"/>
    <w:bookmarkStart w:id="23" w:name="carrier-statistics-and-recombination"/>
    <w:p>
      <w:pPr>
        <w:pStyle w:val="Heading3"/>
      </w:pPr>
      <w:r>
        <w:t xml:space="preserve">2.2 Carrier statistics and recombination</w:t>
      </w:r>
    </w:p>
    <w:p>
      <w:pPr>
        <w:pStyle w:val="FirstParagraph"/>
      </w:pPr>
      <w:r>
        <w:t xml:space="preserve">Both codes use Boltzmann statistics for the non-degenerate perovskite absorber.</w:t>
      </w:r>
      <w:r>
        <w:t xml:space="preserve"> </w:t>
      </w:r>
      <w:r>
        <w:t xml:space="preserve">Recombination is the sum of Shockley–Read–Hall (SRH, bulk and interface),</w:t>
      </w:r>
      <w:r>
        <w:t xml:space="preserve"> </w:t>
      </w:r>
      <w:r>
        <w:t xml:space="preserve">radiative, and Auger channels. SolarLab evaluates the effective density-of-states</w:t>
      </w:r>
      <w:r>
        <w:t xml:space="preserve"> </w:t>
      </w:r>
      <w:r>
        <w:t xml:space="preserve">band-potential correction (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nor/>
            <m:sty m:val="p"/>
          </m:rPr>
          <m:t>ln</m:t>
        </m:r>
        <m:sSub>
          <m:e>
            <m:r>
              <m:t>N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/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nor/>
            <m:sty m:val="p"/>
          </m:rPr>
          <m:t>ln</m:t>
        </m:r>
        <m:sSub>
          <m:e>
            <m:r>
              <m:t>N</m:t>
            </m:r>
          </m:e>
          <m:sub>
            <m:r>
              <m:t>V</m:t>
            </m:r>
          </m:sub>
        </m:sSub>
      </m:oMath>
      <w:r>
        <w:t xml:space="preserve">) in the</w:t>
      </w:r>
      <w:r>
        <w:t xml:space="preserve"> </w:t>
      </w:r>
      <w:r>
        <w:t xml:space="preserve">Scharfetter–Gummel drift term, which restores the</w:t>
      </w:r>
      <w:r>
        <w:t xml:space="preserve"> </w:t>
      </w:r>
      <m:oMath>
        <m:r>
          <m:t>k</m:t>
        </m:r>
        <m:r>
          <m:t>T</m:t>
        </m:r>
        <m:r>
          <m:rPr>
            <m:nor/>
            <m:sty m:val="p"/>
          </m:rPr>
          <m:t>ln</m:t>
        </m:r>
        <m:r>
          <m:rPr>
            <m:sty m:val="p"/>
          </m:rPr>
          <m:t>(</m:t>
        </m:r>
        <m:r>
          <m:rPr>
            <m:nor/>
            <m:sty m:val="p"/>
          </m:rPr>
          <m:t>DOS ratio</m:t>
        </m:r>
        <m:r>
          <m:rPr>
            <m:sty m:val="p"/>
          </m:rPr>
          <m:t>)</m:t>
        </m:r>
      </m:oMath>
      <w:r>
        <w:t xml:space="preserve"> </w:t>
      </w:r>
      <w:r>
        <w:t xml:space="preserve">quasi-Fermi-level steps at the DOS-contrast heterojunctions; without it the base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c</m:t>
            </m:r>
          </m:sub>
        </m:sSub>
      </m:oMath>
      <w:r>
        <w:t xml:space="preserve"> </w:t>
      </w:r>
      <w:r>
        <w:t xml:space="preserve">is depressed by ~137 mV. With the correction the base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c</m:t>
            </m:r>
          </m:sub>
        </m:sSub>
      </m:oMath>
      <w:r>
        <w:t xml:space="preserve"> </w:t>
      </w:r>
      <w:r>
        <w:t xml:space="preserve">matches SCAPS. One deliberate SCAPS-emulation adjustment is retained: the</w:t>
      </w:r>
      <w:r>
        <w:t xml:space="preserve"> </w:t>
      </w:r>
      <w:r>
        <w:t xml:space="preserve">heterointerface bulk-recombination</w:t>
      </w:r>
      <w:r>
        <w:t xml:space="preserve"> </w:t>
      </w:r>
      <w:r>
        <w:rPr>
          <w:iCs/>
          <w:i/>
        </w:rPr>
        <w:t xml:space="preserve">de-spike</w:t>
      </w:r>
      <w:r>
        <w:t xml:space="preserve"> </w:t>
      </w:r>
      <w:r>
        <w:t xml:space="preserve">fraction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0.53</m:t>
        </m:r>
      </m:oMath>
      <w:r>
        <w:t xml:space="preserve">, which blends</w:t>
      </w:r>
      <w:r>
        <w:t xml:space="preserve"> </w:t>
      </w:r>
      <w:r>
        <w:t xml:space="preserve">the single-node band-offset carrier spike toward the geometric mean of its</w:t>
      </w:r>
      <w:r>
        <w:t xml:space="preserve"> </w:t>
      </w:r>
      <w:r>
        <w:t xml:space="preserve">neighbours in the bulk Auger/radiative rate only (the transport flux is</w:t>
      </w:r>
      <w:r>
        <w:t xml:space="preserve"> </w:t>
      </w:r>
      <w:r>
        <w:t xml:space="preserve">untouched). This compensates a partial double-count of the same interface loss by</w:t>
      </w:r>
      <w:r>
        <w:t xml:space="preserve"> </w:t>
      </w:r>
      <w:r>
        <w:t xml:space="preserve">the bulk-Auger and interface-SRH channels — an artifact of resolving a sharp</w:t>
      </w:r>
      <w:r>
        <w:t xml:space="preserve"> </w:t>
      </w:r>
      <w:r>
        <w:t xml:space="preserve">band offset on a single grid node — and lands the base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c</m:t>
            </m:r>
          </m:sub>
        </m:sSub>
      </m:oMath>
      <w:r>
        <w:t xml:space="preserve"> </w:t>
      </w:r>
      <w:r>
        <w:t xml:space="preserve">on the SCAPS</w:t>
      </w:r>
      <w:r>
        <w:t xml:space="preserve"> </w:t>
      </w:r>
      <w:r>
        <w:t xml:space="preserve">value. It is a bulk-rate scalar and therefore shifts absolute levels, not sweep</w:t>
      </w:r>
      <w:r>
        <w:t xml:space="preserve"> </w:t>
      </w:r>
      <w:r>
        <w:t xml:space="preserve">directions.</w:t>
      </w:r>
    </w:p>
    <w:bookmarkEnd w:id="23"/>
    <w:bookmarkStart w:id="24" w:name="heterointerface-transport"/>
    <w:p>
      <w:pPr>
        <w:pStyle w:val="Heading3"/>
      </w:pPr>
      <w:r>
        <w:t xml:space="preserve">2.3 Heterointerface transport</w:t>
      </w:r>
    </w:p>
    <w:p>
      <w:pPr>
        <w:pStyle w:val="FirstParagraph"/>
      </w:pPr>
      <w:r>
        <w:t xml:space="preserve">At a band offset exceeding ~0.05 eV the raw Scharfetter–Gummel flux</w:t>
      </w:r>
      <w:r>
        <w:t xml:space="preserve"> </w:t>
      </w:r>
      <w:r>
        <w:t xml:space="preserve">over-estimates the current that can cross a discontinuity resolved in one grid</w:t>
      </w:r>
      <w:r>
        <w:t xml:space="preserve"> </w:t>
      </w:r>
      <w:r>
        <w:t xml:space="preserve">spacing. SolarLab caps the flux at the Richardson–Dushman thermionic-emission</w:t>
      </w:r>
      <w:r>
        <w:t xml:space="preserve"> </w:t>
      </w:r>
      <w:r>
        <w:t xml:space="preserve">(TE) limit; SCAPS applies its own interface treatment. This is the dominant</w:t>
      </w:r>
      <w:r>
        <w:t xml:space="preserve"> </w:t>
      </w:r>
      <w:r>
        <w:t xml:space="preserve">control on the</w:t>
      </w:r>
      <w:r>
        <w:t xml:space="preserve"> </w:t>
      </w:r>
      <w:r>
        <w:rPr>
          <w:iCs/>
          <w:i/>
        </w:rPr>
        <w:t xml:space="preserve">positive</w:t>
      </w:r>
      <w:r>
        <w:t xml:space="preserve"> </w:t>
      </w:r>
      <w:r>
        <w:t xml:space="preserve">conduction-band-offset (spike) response of Section 4.1:</w:t>
      </w:r>
      <w:r>
        <w:t xml:space="preserve"> </w:t>
      </w:r>
      <w:r>
        <w:t xml:space="preserve">a positive spike is a barrier to electron extraction, and the height at which it</w:t>
      </w:r>
      <w:r>
        <w:t xml:space="preserve"> </w:t>
      </w:r>
      <w:r>
        <w:t xml:space="preserve">kills current collection is set by how each code models the interface. Intra-band</w:t>
      </w:r>
      <w:r>
        <w:t xml:space="preserve"> </w:t>
      </w:r>
      <w:r>
        <w:t xml:space="preserve">tunnelling through the spike — exposed by SCAPS as an option — is available in</w:t>
      </w:r>
      <w:r>
        <w:t xml:space="preserve"> </w:t>
      </w:r>
      <w:r>
        <w:t xml:space="preserve">SolarLab as a static, flag-gated enhancement but is left off here, matching the</w:t>
      </w:r>
      <w:r>
        <w:t xml:space="preserve"> </w:t>
      </w:r>
      <w:r>
        <w:t xml:space="preserve">reference configuration.</w:t>
      </w:r>
    </w:p>
    <w:bookmarkEnd w:id="24"/>
    <w:bookmarkStart w:id="25" w:name="contacts"/>
    <w:p>
      <w:pPr>
        <w:pStyle w:val="Heading3"/>
      </w:pPr>
      <w:r>
        <w:t xml:space="preserve">2.4 Contacts</w:t>
      </w:r>
    </w:p>
    <w:p>
      <w:pPr>
        <w:pStyle w:val="FirstParagraph"/>
      </w:pPr>
      <w:r>
        <w:t xml:space="preserve">This is the largest model difference. SolarLab’s default is the IonMonger-style</w:t>
      </w:r>
      <w:r>
        <w:t xml:space="preserve"> </w:t>
      </w:r>
      <w:r>
        <w:rPr>
          <w:iCs/>
          <w:i/>
        </w:rPr>
        <w:t xml:space="preserve">ideal ohmic pin</w:t>
      </w:r>
      <w:r>
        <w:t xml:space="preserve">: the carrier densities at the outer contacts are Dirichlet-pinned</w:t>
      </w:r>
      <w:r>
        <w:t xml:space="preserve"> </w:t>
      </w:r>
      <w:r>
        <w:t xml:space="preserve">to the dark-doping equilibrium,</w:t>
      </w:r>
      <w: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ETL</m:t>
            </m:r>
          </m:sub>
        </m:sSub>
      </m:oMath>
      <w:r>
        <w:t xml:space="preserve"> </w:t>
      </w:r>
      <w:r>
        <w:t xml:space="preserve">at the cathode. SCAPS</w:t>
      </w:r>
      <w:r>
        <w:t xml:space="preserve"> </w:t>
      </w:r>
      <w:r>
        <w:t xml:space="preserve">models the contacts as</w:t>
      </w:r>
      <w:r>
        <w:t xml:space="preserve"> </w:t>
      </w:r>
      <w:r>
        <w:rPr>
          <w:iCs/>
          <w:i/>
        </w:rPr>
        <w:t xml:space="preserve">flat-band metals</w:t>
      </w:r>
      <w:r>
        <w:t xml:space="preserve"> </w:t>
      </w:r>
      <w:r>
        <w:t xml:space="preserve">with a fixed work function and a finite</w:t>
      </w:r>
      <w:r>
        <w:t xml:space="preserve"> </w:t>
      </w:r>
      <w:r>
        <w:t xml:space="preserve">surface-recombination velocity. At normal contact doping the two conventions</w:t>
      </w:r>
      <w:r>
        <w:t xml:space="preserve"> </w:t>
      </w:r>
      <w:r>
        <w:t xml:space="preserve">agree to within a few millivolts. They diverge only when a contact layer is</w:t>
      </w:r>
      <w:r>
        <w:t xml:space="preserve"> </w:t>
      </w:r>
      <w:r>
        <w:t xml:space="preserve">weakly doped: the doping-tied pin then supplies a vanishing carrier reservoir and</w:t>
      </w:r>
      <w:r>
        <w:t xml:space="preserve"> </w:t>
      </w:r>
      <w:r>
        <w:t xml:space="preserve">starves the contact, whereas the metal work function supplies carriers</w:t>
      </w:r>
      <w:r>
        <w:t xml:space="preserve"> </w:t>
      </w:r>
      <w:r>
        <w:t xml:space="preserve">independently of the semiconductor doping. SolarLab reproduces the SCAPS</w:t>
      </w:r>
      <w:r>
        <w:t xml:space="preserve"> </w:t>
      </w:r>
      <w:r>
        <w:t xml:space="preserve">convention with a</w:t>
      </w:r>
      <w:r>
        <w:t xml:space="preserve"> </w:t>
      </w:r>
      <w:r>
        <w:rPr>
          <w:iCs/>
          <w:i/>
        </w:rPr>
        <w:t xml:space="preserve">work-function reservoir floor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max</m:t>
          </m:r>
          <m:r>
            <m:t>​</m:t>
          </m:r>
          <m:r>
            <m:rPr>
              <m:sty m:val="p"/>
            </m:rPr>
            <m:t>(</m:t>
          </m:r>
          <m:sSub>
            <m:e>
              <m:r>
                <m:t>N</m:t>
              </m:r>
            </m:e>
            <m:sub>
              <m:r>
                <m:t>D</m:t>
              </m:r>
            </m:sub>
          </m:sSub>
          <m:r>
            <m:rPr>
              <m:nor/>
              <m:sty m:val="p"/>
            </m:rPr>
            <m:t>-eq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N</m:t>
              </m:r>
            </m:e>
            <m:sub>
              <m:r>
                <m:t>C</m:t>
              </m:r>
            </m:sub>
          </m:sSub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ϕ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(the majority carrier chosen by the contact doping sign), which is dormant at</w:t>
      </w:r>
      <w:r>
        <w:t xml:space="preserve"> </w:t>
      </w:r>
      <w:r>
        <w:t xml:space="preserve">normal doping — hence bit-identical on every sweep that holds the contacts at</w:t>
      </w:r>
      <w:r>
        <w:t xml:space="preserve"> </w:t>
      </w:r>
      <w:r>
        <w:t xml:space="preserve">their base doping — and active only in the weakly-doped-contact tail. It is the</w:t>
      </w:r>
      <w:r>
        <w:t xml:space="preserve"> </w:t>
      </w:r>
      <w:r>
        <w:t xml:space="preserve">decisive model element in the ETL-doping sweep of Section 4.2.</w:t>
      </w:r>
    </w:p>
    <w:bookmarkEnd w:id="25"/>
    <w:bookmarkStart w:id="26" w:name="optics"/>
    <w:p>
      <w:pPr>
        <w:pStyle w:val="Heading3"/>
      </w:pPr>
      <w:r>
        <w:t xml:space="preserve">2.5 Optics</w:t>
      </w:r>
    </w:p>
    <w:p>
      <w:pPr>
        <w:pStyle w:val="FirstParagraph"/>
      </w:pPr>
      <w:r>
        <w:t xml:space="preserve">SolarLab computes the position-resolved generation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 a coherent</w:t>
      </w:r>
      <w:r>
        <w:t xml:space="preserve"> </w:t>
      </w:r>
      <w:r>
        <w:t xml:space="preserve">thin-film transfer-matrix method (TMM) over the full glass/transport/absorber</w:t>
      </w:r>
      <w:r>
        <w:t xml:space="preserve"> </w:t>
      </w:r>
      <w:r>
        <w:t xml:space="preserve">stack, with the Poynting-vector correction enforcing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T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 SCAPS uses</w:t>
      </w:r>
      <w:r>
        <w:t xml:space="preserve"> </w:t>
      </w:r>
      <w:r>
        <w:t xml:space="preserve">a scalar absorption profile. The two optical models produce a small,</w:t>
      </w:r>
      <w:r>
        <w:t xml:space="preserve"> </w:t>
      </w:r>
      <w:r>
        <w:rPr>
          <w:iCs/>
          <w:i/>
        </w:rPr>
        <w:t xml:space="preserve">flat</w:t>
      </w:r>
      <w:r>
        <w:t xml:space="preserve"> </w:t>
      </w:r>
      <m:oMath>
        <m:sSub>
          <m:e>
            <m:r>
              <m:t>J</m:t>
            </m:r>
          </m:e>
          <m:sub>
            <m:r>
              <m:t>s</m:t>
            </m:r>
            <m:r>
              <m:t>c</m:t>
            </m:r>
          </m:sub>
        </m:sSub>
      </m:oMath>
      <w:r>
        <w:t xml:space="preserve"> </w:t>
      </w:r>
      <w:r>
        <w:t xml:space="preserve">offset (~0.6 mA cm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, ~2%) that is independent of every</w:t>
      </w:r>
      <w:r>
        <w:t xml:space="preserve"> </w:t>
      </w:r>
      <w:r>
        <w:t xml:space="preserve">electrical sweep parameter — exactly the signature of an optics-only difference.</w:t>
      </w:r>
      <w:r>
        <w:t xml:space="preserve"> </w:t>
      </w:r>
      <w:r>
        <w:t xml:space="preserve">Because this offset is constant, the</w:t>
      </w:r>
      <w:r>
        <w:t xml:space="preserve"> </w:t>
      </w:r>
      <m:oMath>
        <m:sSub>
          <m:e>
            <m:r>
              <m:t>J</m:t>
            </m:r>
          </m:e>
          <m:sub>
            <m:r>
              <m:t>s</m:t>
            </m:r>
            <m:r>
              <m:t>c</m:t>
            </m:r>
          </m:sub>
        </m:sSub>
      </m:oMath>
      <w:r>
        <w:t xml:space="preserve"> </w:t>
      </w:r>
      <w:r>
        <w:t xml:space="preserve">panels of Figures 2–11 are drawn on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ty m:val="p"/>
          </m:rPr>
          <m:t>[</m:t>
        </m:r>
        <m:r>
          <m:t>20</m:t>
        </m:r>
        <m:r>
          <m:rPr>
            <m:sty m:val="p"/>
          </m:rPr>
          <m:t>,</m:t>
        </m:r>
        <m:r>
          <m:t>30</m:t>
        </m:r>
        <m:r>
          <m:rPr>
            <m:sty m:val="p"/>
          </m:rPr>
          <m:t>]</m:t>
        </m:r>
      </m:oMath>
      <w:r>
        <w:t xml:space="preserve"> </w:t>
      </w:r>
      <w:r>
        <w:t xml:space="preserve">mA cm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axis so the two flat lines and their small gap are</w:t>
      </w:r>
      <w:r>
        <w:t xml:space="preserve"> </w:t>
      </w:r>
      <w:r>
        <w:t xml:space="preserve">resolved; Figure 1 alone keeps the full axis because its</w:t>
      </w:r>
      <w:r>
        <w:t xml:space="preserve"> </w:t>
      </w:r>
      <m:oMath>
        <m:sSub>
          <m:e>
            <m:r>
              <m:t>J</m:t>
            </m:r>
          </m:e>
          <m:sub>
            <m:r>
              <m:t>s</m:t>
            </m:r>
            <m:r>
              <m:t>c</m:t>
            </m:r>
          </m:sub>
        </m:sSub>
      </m:oMath>
      <w:r>
        <w:t xml:space="preserve"> </w:t>
      </w:r>
      <w:r>
        <w:t xml:space="preserve">genuinely</w:t>
      </w:r>
      <w:r>
        <w:t xml:space="preserve"> </w:t>
      </w:r>
      <w:r>
        <w:t xml:space="preserve">collapses to zero at a large spike.</w:t>
      </w:r>
    </w:p>
    <w:bookmarkEnd w:id="26"/>
    <w:bookmarkEnd w:id="27"/>
    <w:bookmarkStart w:id="31" w:name="numerical-algorithms"/>
    <w:p>
      <w:pPr>
        <w:pStyle w:val="Heading2"/>
      </w:pPr>
      <w:r>
        <w:t xml:space="preserve">3. Numerical algorithms</w:t>
      </w:r>
    </w:p>
    <w:bookmarkStart w:id="28" w:name="solarlab-transient-method-of-lines"/>
    <w:p>
      <w:pPr>
        <w:pStyle w:val="Heading3"/>
      </w:pPr>
      <w:r>
        <w:t xml:space="preserve">3.1 SolarLab: transient method of lines</w:t>
      </w:r>
    </w:p>
    <w:p>
      <w:pPr>
        <w:pStyle w:val="FirstParagraph"/>
      </w:pPr>
      <w:r>
        <w:t xml:space="preserve">SolarLab discretises space with Scharfetter–Gummel finite elements on a</w:t>
      </w:r>
      <w:r>
        <w:t xml:space="preserve"> </w:t>
      </w:r>
      <w:r>
        <w:t xml:space="preserve">tanh-clustered multilayer grid and integrates in time with an implicit stiff</w:t>
      </w:r>
      <w:r>
        <w:t xml:space="preserve"> </w:t>
      </w:r>
      <w:r>
        <w:t xml:space="preserve">integrator (</w:t>
      </w:r>
      <w:r>
        <w:rPr>
          <w:rStyle w:val="VerbatimChar"/>
        </w:rPr>
        <w:t xml:space="preserve">scipy</w:t>
      </w:r>
      <w:r>
        <w:t xml:space="preserve"> </w:t>
      </w:r>
      <w:r>
        <w:t xml:space="preserve">Radau), reusing the previous bias point as the initial</w:t>
      </w:r>
      <w:r>
        <w:t xml:space="preserve"> </w:t>
      </w:r>
      <w:r>
        <w:t xml:space="preserve">condition so that each figure of merit is read from a settled steady state. The</w:t>
      </w:r>
      <w:r>
        <w:t xml:space="preserve"> </w:t>
      </w:r>
      <w:r>
        <w:t xml:space="preserve">open-circuit voltage is obtained by bracketing the zero-crossing of the terminal</w:t>
      </w:r>
      <w:r>
        <w:t xml:space="preserve"> </w:t>
      </w:r>
      <w:r>
        <w:t xml:space="preserve">current on a forward voltage sweep. A companion direct steady-state Newton driver</w:t>
      </w:r>
      <w:r>
        <w:t xml:space="preserve"> </w:t>
      </w:r>
      <w:r>
        <w:t xml:space="preserve">exists and is used for cross-validation; the curves here are the transient</w:t>
      </w:r>
      <w:r>
        <w:t xml:space="preserve"> </w:t>
      </w:r>
      <w:r>
        <w:t xml:space="preserve">solution.</w:t>
      </w:r>
    </w:p>
    <w:bookmarkEnd w:id="28"/>
    <w:bookmarkStart w:id="29" w:name="scaps-gummel-iterated-steady-state"/>
    <w:p>
      <w:pPr>
        <w:pStyle w:val="Heading3"/>
      </w:pPr>
      <w:r>
        <w:t xml:space="preserve">3.2 SCAPS: Gummel-iterated steady state</w:t>
      </w:r>
    </w:p>
    <w:p>
      <w:pPr>
        <w:pStyle w:val="FirstParagraph"/>
      </w:pPr>
      <w:r>
        <w:t xml:space="preserve">SCAPS solves the coupled system directly at steady state by Gummel iteration</w:t>
      </w:r>
      <w:r>
        <w:t xml:space="preserve"> </w:t>
      </w:r>
      <w:r>
        <w:t xml:space="preserve">(decoupled Poisson / continuity updates iterated to self-consistency) with a</w:t>
      </w:r>
      <w:r>
        <w:t xml:space="preserve"> </w:t>
      </w:r>
      <w:r>
        <w:t xml:space="preserve">Newton inner solve, at each bias point. There is no time axis and no ionic degree</w:t>
      </w:r>
      <w:r>
        <w:t xml:space="preserve"> </w:t>
      </w:r>
      <w:r>
        <w:t xml:space="preserve">of freedom.</w:t>
      </w:r>
    </w:p>
    <w:bookmarkEnd w:id="29"/>
    <w:bookmarkStart w:id="30" w:name="consequences-for-the-comparison"/>
    <w:p>
      <w:pPr>
        <w:pStyle w:val="Heading3"/>
      </w:pPr>
      <w:r>
        <w:t xml:space="preserve">3.3 Consequences for the comparison</w:t>
      </w:r>
    </w:p>
    <w:p>
      <w:pPr>
        <w:pStyle w:val="FirstParagraph"/>
      </w:pPr>
      <w:r>
        <w:t xml:space="preserve">The algorithmic difference matters in exactly one place: whether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c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iCs/>
          <w:i/>
        </w:rPr>
        <w:t xml:space="preserve">bracketed</w:t>
      </w:r>
      <w:r>
        <w:t xml:space="preserve">. Where the device has a well-defined open-circuit crossing, the</w:t>
      </w:r>
      <w:r>
        <w:t xml:space="preserve"> </w:t>
      </w:r>
      <w:r>
        <w:t xml:space="preserve">transient and the steady-state solve agree to within a few millivolts (verified</w:t>
      </w:r>
      <w:r>
        <w:t xml:space="preserve"> </w:t>
      </w:r>
      <w:r>
        <w:t xml:space="preserve">independently). Where the crossing is marginal or degenerate — a near-insulating</w:t>
      </w:r>
      <w:r>
        <w:t xml:space="preserve"> </w:t>
      </w:r>
      <w:r>
        <w:t xml:space="preserve">contact, or a spike so large that</w:t>
      </w:r>
      <w:r>
        <w:t xml:space="preserve"> </w:t>
      </w:r>
      <m:oMath>
        <m:sSub>
          <m:e>
            <m:r>
              <m:t>J</m:t>
            </m:r>
          </m:e>
          <m:sub>
            <m:r>
              <m:t>s</m:t>
            </m:r>
            <m:r>
              <m:t>c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— the transient sweep may fail to</w:t>
      </w:r>
      <w:r>
        <w:t xml:space="preserve"> </w:t>
      </w:r>
      <w:r>
        <w:t xml:space="preserve">find a physical crossing and report either no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c</m:t>
            </m:r>
          </m:sub>
        </m:sSub>
      </m:oMath>
      <w:r>
        <w:t xml:space="preserve"> </w:t>
      </w:r>
      <w:r>
        <w:t xml:space="preserve">or a super-bandgap</w:t>
      </w:r>
      <w:r>
        <w:t xml:space="preserve"> </w:t>
      </w:r>
      <w:r>
        <w:t xml:space="preserve">pseudo-crossing. Such points are</w:t>
      </w:r>
      <w:r>
        <w:t xml:space="preserve"> </w:t>
      </w:r>
      <w:r>
        <w:rPr>
          <w:iCs/>
          <w:i/>
        </w:rPr>
        <w:t xml:space="preserve">physical absences</w:t>
      </w:r>
      <w:r>
        <w:t xml:space="preserve">, not solver errors: the two</w:t>
      </w:r>
      <w:r>
        <w:t xml:space="preserve"> </w:t>
      </w:r>
      <w:r>
        <w:t xml:space="preserve">drivers agree that no crossing exists, and the degenerate points are excluded from</w:t>
      </w:r>
      <w:r>
        <w:t xml:space="preserve"> </w:t>
      </w:r>
      <w:r>
        <w:t xml:space="preserve">the comparison. This is the mechanism behind the low-doping tail of Section 4.2</w:t>
      </w:r>
      <w:r>
        <w:t xml:space="preserve"> </w:t>
      </w:r>
      <w:r>
        <w:t xml:space="preserve">(resolved by the contact model of Section 2.4) and the dead-cell tail of</w:t>
      </w:r>
      <w:r>
        <w:t xml:space="preserve"> </w:t>
      </w:r>
      <w:r>
        <w:t xml:space="preserve">Section 4.1.</w:t>
      </w:r>
    </w:p>
    <w:bookmarkEnd w:id="30"/>
    <w:bookmarkEnd w:id="31"/>
    <w:bookmarkStart w:id="49" w:name="results-eleven-parametric-sweeps"/>
    <w:p>
      <w:pPr>
        <w:pStyle w:val="Heading2"/>
      </w:pPr>
      <w:r>
        <w:t xml:space="preserve">4. Results: eleven parametric sweeps</w:t>
      </w:r>
    </w:p>
    <w:p>
      <w:pPr>
        <w:pStyle w:val="FirstParagraph"/>
      </w:pPr>
      <w:r>
        <w:t xml:space="preserve">Each figure overlays SCAPS (red) and SolarLab (</w:t>
      </w:r>
      <m:oMath>
        <m:r>
          <m:t>f</m:t>
        </m:r>
        <m:r>
          <m:rPr>
            <m:sty m:val="p"/>
          </m:rPr>
          <m:t>=</m:t>
        </m:r>
        <m:r>
          <m:t>0.53</m:t>
        </m:r>
      </m:oMath>
      <w:r>
        <w:t xml:space="preserve">, blue) on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c</m:t>
            </m:r>
          </m:sub>
        </m:sSub>
      </m:oMath>
      <w:r>
        <w:t xml:space="preserve">/</w:t>
      </w:r>
      <m:oMath>
        <m:sSub>
          <m:e>
            <m:r>
              <m:t>J</m:t>
            </m:r>
          </m:e>
          <m:sub>
            <m:r>
              <m:t>s</m:t>
            </m:r>
            <m:r>
              <m:t>c</m:t>
            </m:r>
          </m:sub>
        </m:sSub>
      </m:oMath>
      <w:r>
        <w:t xml:space="preserve">/FF/PCE. Ten of the eleven sweeps agree on trend direction; the exception (HTL/PVK</w:t>
      </w:r>
      <w:r>
        <w:t xml:space="preserve"> </w:t>
      </w:r>
      <w:r>
        <w:t xml:space="preserve">interface defect density, §4.5) is where the transient is flat.</w:t>
      </w:r>
    </w:p>
    <w:bookmarkStart w:id="33" w:name="etlpvk-conduction-band-offset"/>
    <w:p>
      <w:pPr>
        <w:pStyle w:val="Heading3"/>
      </w:pPr>
      <w:r>
        <w:t xml:space="preserve">4.1 ETL/PVK conduction-band offset</w:t>
      </w:r>
    </w:p>
    <w:p>
      <w:pPr>
        <w:pStyle w:val="CaptionedFigure"/>
      </w:pPr>
      <w:r>
        <w:drawing>
          <wp:inline>
            <wp:extent cx="5334000" cy="3801340"/>
            <wp:effectExtent b="0" l="0" r="0" t="0"/>
            <wp:docPr descr="ETL/PVK conduction-band offset \Delta E_C. Negative \Delta E_C (a cliff) lowers V_{oc} in both codes; the flat plateau is band-offset-limited. The positive spike is a barrier to electron extraction: J_{sc}/FF/PCE collapse while V_{oc} stays flat, confirming the spike blocks collection, not the open-circuit voltage. SolarLab’s thermionic-emission-capped flux places the collapse threshold at \Delta E_C \approx +0.7 eV versus SCAPS’s +0.5 eV — an interface-transport-model offset (Section 2.3). J_{sc} is shown on the full axis because it genuinely reaches zero." title="" id="1" name="Picture"/>
            <a:graphic>
              <a:graphicData uri="http://schemas.openxmlformats.org/drawingml/2006/picture">
                <pic:pic>
                  <pic:nvPicPr>
                    <pic:cNvPr descr="../figures/scaps_solarlab_compare/sweep_CHI_ET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1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ETL/PVK conduction-band offset</w:t>
      </w:r>
      <w:r>
        <w:t xml:space="preserve"> </w:t>
      </w:r>
      <m:oMath>
        <m:r>
          <m:t>Δ</m:t>
        </m:r>
        <m:sSub>
          <m:e>
            <m:r>
              <m:t>E</m:t>
            </m:r>
          </m:e>
          <m:sub>
            <m:r>
              <m:t>C</m:t>
            </m:r>
          </m:sub>
        </m:sSub>
      </m:oMath>
      <w:r>
        <w:t xml:space="preserve">. Negative</w:t>
      </w:r>
      <w:r>
        <w:t xml:space="preserve"> </w:t>
      </w:r>
      <m:oMath>
        <m:r>
          <m:t>Δ</m:t>
        </m:r>
        <m:sSub>
          <m:e>
            <m:r>
              <m:t>E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(a cliff) lowers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c</m:t>
            </m:r>
          </m:sub>
        </m:sSub>
      </m:oMath>
      <w:r>
        <w:t xml:space="preserve"> </w:t>
      </w:r>
      <w:r>
        <w:t xml:space="preserve">in both codes; the flat plateau is band-offset-limited. The positive spike is a barrier to electron extraction:</w:t>
      </w:r>
      <w:r>
        <w:t xml:space="preserve"> </w:t>
      </w:r>
      <m:oMath>
        <m:sSub>
          <m:e>
            <m:r>
              <m:t>J</m:t>
            </m:r>
          </m:e>
          <m:sub>
            <m:r>
              <m:t>s</m:t>
            </m:r>
            <m:r>
              <m:t>c</m:t>
            </m:r>
          </m:sub>
        </m:sSub>
      </m:oMath>
      <w:r>
        <w:t xml:space="preserve">/FF/PCE collapse while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c</m:t>
            </m:r>
          </m:sub>
        </m:sSub>
      </m:oMath>
      <w:r>
        <w:t xml:space="preserve"> </w:t>
      </w:r>
      <w:r>
        <w:t xml:space="preserve">stays flat, confirming the spike blocks</w:t>
      </w:r>
      <w:r>
        <w:t xml:space="preserve"> </w:t>
      </w:r>
      <w:r>
        <w:rPr>
          <w:iCs/>
          <w:i/>
        </w:rPr>
        <w:t xml:space="preserve">collection</w:t>
      </w:r>
      <w:r>
        <w:t xml:space="preserve">, not the open-circuit voltage. SolarLab’s thermionic-emission-capped flux places the collapse threshold at</w:t>
      </w:r>
      <w:r>
        <w:t xml:space="preserve"> </w:t>
      </w:r>
      <m:oMath>
        <m:r>
          <m:t>Δ</m:t>
        </m:r>
        <m:sSub>
          <m:e>
            <m:r>
              <m:t>E</m:t>
            </m:r>
          </m:e>
          <m:sub>
            <m:r>
              <m:t>C</m:t>
            </m:r>
          </m:sub>
        </m:sSub>
        <m:r>
          <m:rPr>
            <m:sty m:val="p"/>
          </m:rPr>
          <m:t>≈</m:t>
        </m:r>
        <m:r>
          <m:rPr>
            <m:sty m:val="p"/>
          </m:rPr>
          <m:t>+</m:t>
        </m:r>
        <m:r>
          <m:t>0.7</m:t>
        </m:r>
      </m:oMath>
      <w:r>
        <w:t xml:space="preserve"> </w:t>
      </w:r>
      <w:r>
        <w:t xml:space="preserve">eV versus SCAPS’s</w:t>
      </w:r>
      <w:r>
        <w:t xml:space="preserve"> </w:t>
      </w:r>
      <m:oMath>
        <m:r>
          <m:rPr>
            <m:sty m:val="p"/>
          </m:rPr>
          <m:t>+</m:t>
        </m:r>
        <m:r>
          <m:t>0.5</m:t>
        </m:r>
      </m:oMath>
      <w:r>
        <w:t xml:space="preserve"> </w:t>
      </w:r>
      <w:r>
        <w:t xml:space="preserve">eV — an interface-transport-model offset (Section 2.3).</w:t>
      </w:r>
      <w:r>
        <w:t xml:space="preserve"> </w:t>
      </w:r>
      <m:oMath>
        <m:sSub>
          <m:e>
            <m:r>
              <m:t>J</m:t>
            </m:r>
          </m:e>
          <m:sub>
            <m:r>
              <m:t>s</m:t>
            </m:r>
            <m:r>
              <m:t>c</m:t>
            </m:r>
          </m:sub>
        </m:sSub>
      </m:oMath>
      <w:r>
        <w:t xml:space="preserve"> </w:t>
      </w:r>
      <w:r>
        <w:t xml:space="preserve">is shown on the full axis because it genuinely reaches zero.</w:t>
      </w:r>
    </w:p>
    <w:bookmarkEnd w:id="33"/>
    <w:bookmarkStart w:id="35" w:name="etl-donor-doping"/>
    <w:p>
      <w:pPr>
        <w:pStyle w:val="Heading3"/>
      </w:pPr>
      <w:r>
        <w:t xml:space="preserve">4.2 ETL donor doping</w:t>
      </w:r>
    </w:p>
    <w:p>
      <w:pPr>
        <w:pStyle w:val="CaptionedFigure"/>
      </w:pPr>
      <w:r>
        <w:drawing>
          <wp:inline>
            <wp:extent cx="5334000" cy="3764672"/>
            <wp:effectExtent b="0" l="0" r="0" t="0"/>
            <wp:docPr descr="ETL donor doping N_{D,\text{ETL}}. Both codes rise monotonically with doping. This is the sweep governed by the contact model (Section 2.4): with the work-function reservoir floor active, SolarLab brackets all eleven points and follows the SCAPS rising direction (RMS 39 mV). The residual — SolarLab ~80–120 mV below SCAPS at the lowest doping — is the steeper reservoir arm, a documented contact-model boundary, not a numerical artifact." title="" id="1" name="Picture"/>
            <a:graphic>
              <a:graphicData uri="http://schemas.openxmlformats.org/drawingml/2006/picture">
                <pic:pic>
                  <pic:nvPicPr>
                    <pic:cNvPr descr="../figures/scaps_solarlab_compare/sweep_Nd_ET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4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ETL donor doping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ETL</m:t>
            </m:r>
          </m:sub>
        </m:sSub>
      </m:oMath>
      <w:r>
        <w:t xml:space="preserve">. Both codes rise monotonically with doping. This is the sweep governed by the contact model (Section 2.4): with the work-function reservoir floor active, SolarLab brackets all eleven points and follows the SCAPS rising direction (RMS 39 mV). The residual — SolarLab ~80–120 mV below SCAPS at the lowest doping — is the steeper reservoir arm, a documented contact-model boundary, not a numerical artifact.</w:t>
      </w:r>
    </w:p>
    <w:bookmarkEnd w:id="35"/>
    <w:bookmarkStart w:id="37" w:name="perovskite-donor-doping"/>
    <w:p>
      <w:pPr>
        <w:pStyle w:val="Heading3"/>
      </w:pPr>
      <w:r>
        <w:t xml:space="preserve">4.3 Perovskite donor doping</w:t>
      </w:r>
    </w:p>
    <w:p>
      <w:pPr>
        <w:pStyle w:val="CaptionedFigure"/>
      </w:pPr>
      <w:r>
        <w:drawing>
          <wp:inline>
            <wp:extent cx="5334000" cy="3764672"/>
            <wp:effectExtent b="0" l="0" r="0" t="0"/>
            <wp:docPr descr="Absorber donor doping N_{D,\text{PVK}}. The absorber is intrinsic by design; doping it modulates the depletion width and the built-in field. Both codes capture the high-doping collapse of the field-driven collection." title="" id="1" name="Picture"/>
            <a:graphic>
              <a:graphicData uri="http://schemas.openxmlformats.org/drawingml/2006/picture">
                <pic:pic>
                  <pic:nvPicPr>
                    <pic:cNvPr descr="../figures/scaps_solarlab_compare/sweep_Nd_PVK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4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Absorber donor doping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PVK</m:t>
            </m:r>
          </m:sub>
        </m:sSub>
      </m:oMath>
      <w:r>
        <w:t xml:space="preserve">. The absorber is intrinsic by design; doping it modulates the depletion width and the built-in field. Both codes capture the high-doping collapse of the field-driven collection.</w:t>
      </w:r>
    </w:p>
    <w:bookmarkEnd w:id="37"/>
    <w:bookmarkStart w:id="40" w:name="perovskite-bulk-defect-density"/>
    <w:p>
      <w:pPr>
        <w:pStyle w:val="Heading3"/>
      </w:pPr>
      <w:r>
        <w:t xml:space="preserve">4.4 Perovskite bulk defect density</w:t>
      </w:r>
    </w:p>
    <w:p>
      <w:pPr>
        <w:pStyle w:val="CaptionedFigure"/>
      </w:pPr>
      <w:r>
        <w:drawing>
          <wp:inline>
            <wp:extent cx="5334000" cy="3786996"/>
            <wp:effectExtent b="0" l="0" r="0" t="0"/>
            <wp:docPr descr="Bulk defect density referenced to the conduction band (top) — see also the valence-band-referenced sweep. Increasing the bulk trap density shortens the SRH lifetime and lowers V_{oc}; both codes track the loss, governed by the bulk-SRH model of Section 2.2." title="" id="1" name="Picture"/>
            <a:graphic>
              <a:graphicData uri="http://schemas.openxmlformats.org/drawingml/2006/picture">
                <pic:pic>
                  <pic:nvPicPr>
                    <pic:cNvPr descr="../figures/scaps_solarlab_compare/sweep_Nt_C_PVK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6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Bulk defect density referenced to the conduction band (top) — see also the valence-band-referenced sweep. Increasing the bulk trap density shortens the SRH lifetime and lowers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c</m:t>
            </m:r>
          </m:sub>
        </m:sSub>
      </m:oMath>
      <w:r>
        <w:t xml:space="preserve">; both codes track the loss, governed by the bulk-SRH model of Section 2.2.</w:t>
      </w:r>
    </w:p>
    <w:p>
      <w:pPr>
        <w:pStyle w:val="CaptionedFigure"/>
      </w:pPr>
      <w:r>
        <w:drawing>
          <wp:inline>
            <wp:extent cx="5334000" cy="3786996"/>
            <wp:effectExtent b="0" l="0" r="0" t="0"/>
            <wp:docPr descr="Bulk defect density referenced to the valence band." title="" id="1" name="Picture"/>
            <a:graphic>
              <a:graphicData uri="http://schemas.openxmlformats.org/drawingml/2006/picture">
                <pic:pic>
                  <pic:nvPicPr>
                    <pic:cNvPr descr="../figures/scaps_solarlab_compare/sweep_Nt_V_PVK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6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Bulk defect density referenced to the valence band.</w:t>
      </w:r>
    </w:p>
    <w:bookmarkEnd w:id="40"/>
    <w:bookmarkStart w:id="43" w:name="interface-defect-density"/>
    <w:p>
      <w:pPr>
        <w:pStyle w:val="Heading3"/>
      </w:pPr>
      <w:r>
        <w:t xml:space="preserve">4.5 Interface defect density</w:t>
      </w:r>
    </w:p>
    <w:p>
      <w:pPr>
        <w:pStyle w:val="CaptionedFigure"/>
      </w:pPr>
      <w:r>
        <w:drawing>
          <wp:inline>
            <wp:extent cx="5334000" cy="3786996"/>
            <wp:effectExtent b="0" l="0" r="0" t="0"/>
            <wp:docPr descr="HTL/PVK interface defect density — the one directional exception. The transient evaluates interface SRH from the carrier densities at the adjacent bulk grid nodes, where the band-offset carrier pileup dominates and masks the defect-density dependence, so the SolarLab V_{oc} is flat; SCAPS (and SolarLab’s steady-state interface-plane driver) evaluate on the interface plane and resolve the small (~5 mV) response. A discretisation limitation of the transient path (cause iv), not a physics disagreement." title="" id="1" name="Picture"/>
            <a:graphic>
              <a:graphicData uri="http://schemas.openxmlformats.org/drawingml/2006/picture">
                <pic:pic>
                  <pic:nvPicPr>
                    <pic:cNvPr descr="../figures/scaps_solarlab_compare/sweep_Nt_HTL_PVK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6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HTL/PVK interface defect density — the one directional exception. The transient evaluates interface SRH from the carrier densities at the adjacent</w:t>
      </w:r>
      <w:r>
        <w:t xml:space="preserve"> </w:t>
      </w:r>
      <w:r>
        <w:rPr>
          <w:iCs/>
          <w:i/>
        </w:rPr>
        <w:t xml:space="preserve">bulk</w:t>
      </w:r>
      <w:r>
        <w:t xml:space="preserve"> </w:t>
      </w:r>
      <w:r>
        <w:t xml:space="preserve">grid nodes, where the band-offset carrier pileup dominates and masks the defect-density dependence, so the SolarLab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c</m:t>
            </m:r>
          </m:sub>
        </m:sSub>
      </m:oMath>
      <w:r>
        <w:t xml:space="preserve"> </w:t>
      </w:r>
      <w:r>
        <w:t xml:space="preserve">is flat; SCAPS (and SolarLab’s steady-state interface-plane driver) evaluate on the interface plane and resolve the small (~5 mV) response. A discretisation limitation of the transient path (cause iv), not a physics disagreement.</w:t>
      </w:r>
    </w:p>
    <w:p>
      <w:pPr>
        <w:pStyle w:val="CaptionedFigure"/>
      </w:pPr>
      <w:r>
        <w:drawing>
          <wp:inline>
            <wp:extent cx="5334000" cy="3786996"/>
            <wp:effectExtent b="0" l="0" r="0" t="0"/>
            <wp:docPr descr="PVK/ETL interface defect density. By contrast with the HTL/PVK interface, here the transient does resolve the response — SolarLab tracks the SCAPS direction with a V_{oc} range of 203 mV against SCAPS’s 282 mV — because the PVK/ETL heterojunction band-offset places the rate-limiting minority carrier where the bulk-node sampling still sees the defect dependence." title="" id="1" name="Picture"/>
            <a:graphic>
              <a:graphicData uri="http://schemas.openxmlformats.org/drawingml/2006/picture">
                <pic:pic>
                  <pic:nvPicPr>
                    <pic:cNvPr descr="../figures/scaps_solarlab_compare/sweep_Nt_PVK_ET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86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PVK/ETL interface defect density. By contrast with the HTL/PVK interface, here the transient</w:t>
      </w:r>
      <w:r>
        <w:t xml:space="preserve"> </w:t>
      </w:r>
      <w:r>
        <w:rPr>
          <w:iCs/>
          <w:i/>
        </w:rPr>
        <w:t xml:space="preserve">does</w:t>
      </w:r>
      <w:r>
        <w:t xml:space="preserve"> </w:t>
      </w:r>
      <w:r>
        <w:t xml:space="preserve">resolve the response — SolarLab tracks the SCAPS direction with a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c</m:t>
            </m:r>
          </m:sub>
        </m:sSub>
      </m:oMath>
      <w:r>
        <w:t xml:space="preserve"> </w:t>
      </w:r>
      <w:r>
        <w:t xml:space="preserve">range of 203 mV against SCAPS’s 282 mV — because the PVK/ETL heterojunction band-offset places the rate-limiting minority carrier where the bulk-node sampling still sees the defect dependence.</w:t>
      </w:r>
    </w:p>
    <w:bookmarkEnd w:id="43"/>
    <w:bookmarkStart w:id="48" w:name="defect-energy-level"/>
    <w:p>
      <w:pPr>
        <w:pStyle w:val="Heading3"/>
      </w:pPr>
      <w:r>
        <w:t xml:space="preserve">4.6 Defect energy level</w:t>
      </w:r>
    </w:p>
    <w:p>
      <w:pPr>
        <w:pStyle w:val="CaptionedFigure"/>
      </w:pPr>
      <w:r>
        <w:drawing>
          <wp:inline>
            <wp:extent cx="5334000" cy="3803399"/>
            <wp:effectExtent b="0" l="0" r="0" t="0"/>
            <wp:docPr descr="Bulk defect level below the conduction band. The SRH rate peaks for mid-gap traps and falls as the level approaches a band edge (shallow-trap re-emission); both codes reproduce the energy dependence." title="" id="1" name="Picture"/>
            <a:graphic>
              <a:graphicData uri="http://schemas.openxmlformats.org/drawingml/2006/picture">
                <pic:pic>
                  <pic:nvPicPr>
                    <pic:cNvPr descr="../figures/scaps_solarlab_compare/sweep_Et_C_PVK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3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Bulk defect level below the conduction band. The SRH rate peaks for mid-gap traps and falls as the level approaches a band edge (shallow-trap re-emission); both codes reproduce the energy dependence.</w:t>
      </w:r>
    </w:p>
    <w:p>
      <w:pPr>
        <w:pStyle w:val="CaptionedFigure"/>
      </w:pPr>
      <w:r>
        <w:drawing>
          <wp:inline>
            <wp:extent cx="5334000" cy="3803399"/>
            <wp:effectExtent b="0" l="0" r="0" t="0"/>
            <wp:docPr descr="Bulk defect level above the valence band." title="" id="1" name="Picture"/>
            <a:graphic>
              <a:graphicData uri="http://schemas.openxmlformats.org/drawingml/2006/picture">
                <pic:pic>
                  <pic:nvPicPr>
                    <pic:cNvPr descr="../figures/scaps_solarlab_compare/sweep_Et_V_PVK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3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Bulk defect level above the valence band.</w:t>
      </w:r>
    </w:p>
    <w:p>
      <w:pPr>
        <w:pStyle w:val="CaptionedFigure"/>
      </w:pPr>
      <w:r>
        <w:drawing>
          <wp:inline>
            <wp:extent cx="5334000" cy="3803399"/>
            <wp:effectExtent b="0" l="0" r="0" t="0"/>
            <wp:docPr descr="HTL/PVK interface defect level." title="" id="1" name="Picture"/>
            <a:graphic>
              <a:graphicData uri="http://schemas.openxmlformats.org/drawingml/2006/picture">
                <pic:pic>
                  <pic:nvPicPr>
                    <pic:cNvPr descr="../figures/scaps_solarlab_compare/sweep_Et_HTL_PVK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3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HTL/PVK interface defect level.</w:t>
      </w:r>
    </w:p>
    <w:p>
      <w:pPr>
        <w:pStyle w:val="CaptionedFigure"/>
      </w:pPr>
      <w:r>
        <w:drawing>
          <wp:inline>
            <wp:extent cx="5334000" cy="3803399"/>
            <wp:effectExtent b="0" l="0" r="0" t="0"/>
            <wp:docPr descr="PVK/ETL interface defect level." title="" id="1" name="Picture"/>
            <a:graphic>
              <a:graphicData uri="http://schemas.openxmlformats.org/drawingml/2006/picture">
                <pic:pic>
                  <pic:nvPicPr>
                    <pic:cNvPr descr="../figures/scaps_solarlab_compare/sweep_Et_PVK_ET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3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PVK/ETL interface defect level.</w:t>
      </w:r>
    </w:p>
    <w:bookmarkEnd w:id="48"/>
    <w:bookmarkEnd w:id="49"/>
    <w:bookmarkStart w:id="50" w:name="discussion-attribution-of-the-residuals"/>
    <w:p>
      <w:pPr>
        <w:pStyle w:val="Heading2"/>
      </w:pPr>
      <w:r>
        <w:t xml:space="preserve">5. Discussion: attribution of the residuals</w:t>
      </w:r>
    </w:p>
    <w:p>
      <w:pPr>
        <w:pStyle w:val="FirstParagraph"/>
      </w:pPr>
      <w:r>
        <w:t xml:space="preserve">Every residual disagreement in Section 4 maps to one of four named causes, and to</w:t>
      </w:r>
      <w:r>
        <w:t xml:space="preserve"> </w:t>
      </w:r>
      <w:r>
        <w:t xml:space="preserve">either the physical model or the numerical algorithm:</w:t>
      </w:r>
    </w:p>
    <w:p>
      <w:pPr>
        <w:pStyle w:val="BodyText"/>
      </w:pPr>
      <w:r>
        <w:t xml:space="preserve">Two points are worth emphasising. First, none of the residuals is a</w:t>
      </w:r>
      <w:r>
        <w:t xml:space="preserve"> </w:t>
      </w:r>
      <w:r>
        <w:rPr>
          <w:iCs/>
          <w:i/>
        </w:rPr>
        <w:t xml:space="preserve">numerical</w:t>
      </w:r>
      <w:r>
        <w:rPr>
          <w:iCs/>
          <w:i/>
        </w:rPr>
        <w:t xml:space="preserve"> </w:t>
      </w:r>
      <w:r>
        <w:rPr>
          <w:iCs/>
          <w:i/>
        </w:rPr>
        <w:t xml:space="preserve">error</w:t>
      </w:r>
      <w:r>
        <w:t xml:space="preserve">: the one algorithmic effect (bracketing) produces physically-correct</w:t>
      </w:r>
      <w:r>
        <w:t xml:space="preserve"> </w:t>
      </w:r>
      <w:r>
        <w:t xml:space="preserve">absences that the independent steady-state driver confirms, and everywhere a</w:t>
      </w:r>
      <w:r>
        <w:t xml:space="preserve"> </w:t>
      </w:r>
      <w:r>
        <w:t xml:space="preserve">crossing exists the two SolarLab drivers agree to within a few millivolts.</w:t>
      </w:r>
      <w:r>
        <w:t xml:space="preserve"> </w:t>
      </w:r>
      <w:r>
        <w:t xml:space="preserve">Second, the model residuals are all</w:t>
      </w:r>
      <w:r>
        <w:t xml:space="preserve"> </w:t>
      </w:r>
      <w:r>
        <w:rPr>
          <w:iCs/>
          <w:i/>
        </w:rPr>
        <w:t xml:space="preserve">localised</w:t>
      </w:r>
      <w:r>
        <w:t xml:space="preserve"> </w:t>
      </w:r>
      <w:r>
        <w:t xml:space="preserve">— the optical offset is a</w:t>
      </w:r>
      <w:r>
        <w:t xml:space="preserve"> </w:t>
      </w:r>
      <w:r>
        <w:t xml:space="preserve">constant, the contact residual lives only in the weakly-doped tail, and the spike</w:t>
      </w:r>
      <w:r>
        <w:t xml:space="preserve"> </w:t>
      </w:r>
      <w:r>
        <w:t xml:space="preserve">threshold differs only at large positive offset — so the two codes implement the</w:t>
      </w:r>
      <w:r>
        <w:t xml:space="preserve"> </w:t>
      </w:r>
      <w:r>
        <w:t xml:space="preserve">same physics wherever that physics is well-conditioned.</w:t>
      </w:r>
    </w:p>
    <w:bookmarkEnd w:id="50"/>
    <w:bookmarkStart w:id="51" w:name="conclusion"/>
    <w:p>
      <w:pPr>
        <w:pStyle w:val="Heading2"/>
      </w:pPr>
      <w:r>
        <w:t xml:space="preserve">6. Conclusion</w:t>
      </w:r>
    </w:p>
    <w:p>
      <w:pPr>
        <w:pStyle w:val="FirstParagraph"/>
      </w:pPr>
      <w:r>
        <w:t xml:space="preserve">Across eleven parametric sweeps SolarLab reproduces the SCAPS-1D trends in</w:t>
      </w:r>
      <w:r>
        <w:t xml:space="preserve"> </w:t>
      </w:r>
      <w:r>
        <w:t xml:space="preserve">direction in ten of the eleven sweeps and in magnitude to within a few percent on the base figures</w:t>
      </w:r>
      <w:r>
        <w:t xml:space="preserve"> </w:t>
      </w:r>
      <w:r>
        <w:t xml:space="preserve">of merit. The disagreements are not numerical noise but the fingerprints of four</w:t>
      </w:r>
      <w:r>
        <w:t xml:space="preserve"> </w:t>
      </w:r>
      <w:r>
        <w:t xml:space="preserve">specific, understood model or algorithm choices — the optical method, the</w:t>
      </w:r>
      <w:r>
        <w:t xml:space="preserve"> </w:t>
      </w:r>
      <w:r>
        <w:t xml:space="preserve">contact boundary condition, the heterointerface flux limit, and the transient</w:t>
      </w:r>
      <w:r>
        <w:t xml:space="preserve"> </w:t>
      </w:r>
      <w:r>
        <w:t xml:space="preserve">versus steady-state solution strategy. Each has been isolated to a single sweep</w:t>
      </w:r>
      <w:r>
        <w:t xml:space="preserve"> </w:t>
      </w:r>
      <w:r>
        <w:t xml:space="preserve">regime and, where it is a model choice, is exposed as a configurable option in</w:t>
      </w:r>
      <w:r>
        <w:t xml:space="preserve"> </w:t>
      </w:r>
      <w:r>
        <w:t xml:space="preserve">SolarLab. The comparison establishes that the two codes share the same</w:t>
      </w:r>
      <w:r>
        <w:t xml:space="preserve"> </w:t>
      </w:r>
      <w:r>
        <w:t xml:space="preserve">drift–diffusion physics and differ only in well-characterised, boundary-layer</w:t>
      </w:r>
      <w:r>
        <w:t xml:space="preserve"> </w:t>
      </w:r>
      <w:r>
        <w:t xml:space="preserve">details.</w:t>
      </w:r>
    </w:p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44" Target="media/rId44.png" /><Relationship Type="http://schemas.openxmlformats.org/officeDocument/2006/relationships/image" Id="rId46" Target="media/rId46.png" /><Relationship Type="http://schemas.openxmlformats.org/officeDocument/2006/relationships/image" Id="rId47" Target="media/rId47.png" /><Relationship Type="http://schemas.openxmlformats.org/officeDocument/2006/relationships/image" Id="rId45" Target="media/rId45.png" /><Relationship Type="http://schemas.openxmlformats.org/officeDocument/2006/relationships/image" Id="rId34" Target="media/rId34.png" /><Relationship Type="http://schemas.openxmlformats.org/officeDocument/2006/relationships/image" Id="rId36" Target="media/rId36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2" Target="media/rId42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SolarLab versus SCAPS-1D across Eleven Parametric Sweeps: A Physical-Model and Numerical-Algorithm Analysis</dc:title>
  <dc:creator/>
  <cp:keywords/>
  <dcterms:created xsi:type="dcterms:W3CDTF">2026-07-02T15:58:31Z</dcterms:created>
  <dcterms:modified xsi:type="dcterms:W3CDTF">2026-07-02T15:58:31Z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2026-07-02</vt:lpwstr>
  </property>
  <property fmtid="{D5CDD505-2E9C-101B-9397-08002B2CF9AE}" pid="3" name="header-includes">
    <vt:lpwstr/>
  </property>
</Properties>
</file>