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4.png" ContentType="image/png"/>
  <Override PartName="/word/media/rId31.png" ContentType="image/png"/>
  <Override PartName="/word/media/rId33.png" ContentType="image/png"/>
  <Override PartName="/word/media/rId34.png" ContentType="image/png"/>
  <Override PartName="/word/media/rId32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9.png" ContentType="image/png"/>
  <Override PartName="/word/media/rId3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  <w:r>
        <w:t xml:space="preserve"> </w:t>
      </w:r>
      <w:r>
        <w:t xml:space="preserve">—</w:t>
      </w:r>
      <w:r>
        <w:t xml:space="preserve"> </w:t>
      </w:r>
      <w:r>
        <w:t xml:space="preserve">Transient</w:t>
      </w:r>
      <w:r>
        <w:t xml:space="preserve"> </w:t>
      </w:r>
      <w:r>
        <w:t xml:space="preserve">(f</w:t>
      </w:r>
      <w:r>
        <w:t xml:space="preserve"> </w:t>
      </w:r>
      <w:r>
        <w:t xml:space="preserve">=</w:t>
      </w:r>
      <w:r>
        <w:t xml:space="preserve"> </w:t>
      </w:r>
      <w:r>
        <w:t xml:space="preserve">0.53</w:t>
      </w:r>
      <w:r>
        <w:t xml:space="preserve"> </w:t>
      </w:r>
      <w:r>
        <w:t xml:space="preserve">/</w:t>
      </w:r>
      <w:r>
        <w:t xml:space="preserve"> </w:t>
      </w:r>
      <w:r>
        <w:t xml:space="preserve">0.66)</w:t>
      </w:r>
      <w:r>
        <w:t xml:space="preserve"> </w:t>
      </w:r>
      <w:r>
        <w:t xml:space="preserve">vs</w:t>
      </w:r>
      <w:r>
        <w:t xml:space="preserve"> </w:t>
      </w:r>
      <w:r>
        <w:t xml:space="preserve">Steady-State</w:t>
      </w:r>
      <w:r>
        <w:t xml:space="preserve"> </w:t>
      </w:r>
      <w:r>
        <w:t xml:space="preserve">Interface-States</w:t>
      </w:r>
      <w:r>
        <w:t xml:space="preserve"> </w:t>
      </w:r>
      <w:r>
        <w:t xml:space="preserve">Comparison</w:t>
      </w:r>
    </w:p>
    <w:p>
      <w:pPr>
        <w:pStyle w:val="Date"/>
      </w:pPr>
      <w:r>
        <w:t xml:space="preserve">2026-06-22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bCs/>
          <w:b/>
        </w:rPr>
        <w:t xml:space="preserve">2026-06-22 revision — de-spike fraction comparison.</w:t>
      </w:r>
      <w:r>
        <w:t xml:space="preserve"> </w:t>
      </w:r>
      <w:r>
        <w:t xml:space="preserve">This revision supersedes the 2026-06-15 report by running the complete validation suite (base operating point + all eleven single-variable sweeps) at</w:t>
      </w:r>
      <w:r>
        <w:t xml:space="preserve"> </w:t>
      </w:r>
      <w:r>
        <w:rPr>
          <w:bCs/>
          <w:b/>
        </w:rPr>
        <w:t xml:space="preserve">two values of the SCAPS-emulation de-spike fraction</w:t>
      </w:r>
      <w:r>
        <w:t xml:space="preserve"> </w:t>
      </w:r>
      <w:r>
        <w:rPr>
          <w:rStyle w:val="VerbatimChar"/>
        </w:rPr>
        <w:t xml:space="preserve">het_recomb_despike</w:t>
      </w:r>
      <w:r>
        <w:t xml:space="preserve">: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(calibrated to land the 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(a higher fraction that tightens the responding-sweep magnitudes). Every figure in Section 4 now overlays SCAPS against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SolarLab fractions, and Tables 1b and 2 tabulate the base absolutes and per-sweep closure at each. Headline: raising f from 0.53 to 0.66 tightens five responding sweeps toward SCAPS (CBO 85-&gt;88 %, perovskite-CB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69-&gt;94 %, PVK/ETL 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72-&gt;80 %, PVK/ETL interface E</w:t>
      </w:r>
      <w:r>
        <w:rPr>
          <w:vertAlign w:val="subscript"/>
        </w:rPr>
        <w:t xml:space="preserve">t</w:t>
      </w:r>
      <w:r>
        <w:t xml:space="preserve"> </w:t>
      </w:r>
      <w:r>
        <w:t xml:space="preserve">23-&gt;49 %) but</w:t>
      </w:r>
      <w:r>
        <w:t xml:space="preserve"> </w:t>
      </w:r>
      <w:r>
        <w:rPr>
          <w:bCs/>
          <w:b/>
        </w:rPr>
        <w:t xml:space="preserve">over-shoots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to +13 mV</w:t>
      </w:r>
      <w:r>
        <w:t xml:space="preserve"> </w:t>
      </w:r>
      <w:r>
        <w:t xml:space="preserve">(vs -4 mV at f = 0.53) and</w:t>
      </w:r>
      <w:r>
        <w:t xml:space="preserve"> </w:t>
      </w:r>
      <w:r>
        <w:rPr>
          <w:bCs/>
          <w:b/>
        </w:rPr>
        <w:t xml:space="preserve">flips the PVK-donor-doping sweep to a direction mismatch</w:t>
      </w:r>
      <w:r>
        <w:t xml:space="preserve">; the ETL-donor-doping mismatch persists at both fractions (it needs the interface-plane states, Section 5.3). f = 0.53 is the recommended emulation default; f = 0.66 trades base-absolute accuracy and one sweep direction for tighter trend magnitudes.</w:t>
      </w:r>
      <w:r>
        <w:t xml:space="preserve"> </w:t>
      </w:r>
      <w:r>
        <w:rPr>
          <w:bCs/>
          <w:b/>
        </w:rPr>
        <w:t xml:space="preserve">This revision additionally overlays a third SolarLab configuration: the steady-state interface-plane-states driver with a newly calibrated per-interface channel (</w:t>
      </w:r>
      <w:r>
        <w:rPr>
          <w:rStyle w:val="VerbatimChar"/>
          <w:bCs/>
          <w:b/>
        </w:rPr>
        <w:t xml:space="preserve">iface_state_calibration_factor</w:t>
      </w:r>
      <w:r>
        <w:rPr>
          <w:bCs/>
          <w:b/>
        </w:rPr>
        <w:t xml:space="preserve"> </w:t>
      </w:r>
      <w:r>
        <w:rPr>
          <w:bCs/>
          <w:b/>
        </w:rPr>
        <w:t xml:space="preserve">= 0.02 HTL/PVK, 0.10 PVK/ETL).</w:t>
      </w:r>
      <w:r>
        <w:t xml:space="preserve"> </w:t>
      </w:r>
      <w:r>
        <w:t xml:space="preserve">It is the only configuration that recovers the ETL-donor-doping rising direction both transient fractions get backwards, and the calibration brings its over-strong interface channel from base −61 mV / Nd_ETL ~2× over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~12× over to base −0.1 mV / Nd_ETL 0.84×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1.0× of SCAPS, all directions matched (Section 5.3). The SS-states curves are shown in all four panels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 of each Section-4 figure (Table 1c gives its base absolutes; Table 2 its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closure). The remaining narrative (root-cause, interface residual, steady-state cross-validation) is unchanged from 2026-06-15 and retained below.</w:t>
      </w:r>
    </w:p>
    <w:p>
      <w:pPr>
        <w:pStyle w:val="BodyText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partner’s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partner workbook. This revision (2026-06-15) supersedes the 2026-06-11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two match partially, and three remain open; every</w:t>
      </w:r>
      <w:r>
        <w:t xml:space="preserve"> </w:t>
      </w:r>
      <w:r>
        <w:t xml:space="preserve">physically well-posed result satisfies the governing bounds. Notably, the</w:t>
      </w:r>
      <w:r>
        <w:t xml:space="preserve"> </w:t>
      </w:r>
      <w:r>
        <w:t xml:space="preserve">perovskite bulk-defect sweeps — previously flat — now reproduce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/PCE descent in direction after a sweep-wiring defect was found and fixed</w:t>
      </w:r>
      <w:r>
        <w:t xml:space="preserve"> </w:t>
      </w:r>
      <w:r>
        <w:t xml:space="preserve">(Section 5). The remaining open items trace to one named residual — the</w:t>
      </w:r>
      <w:r>
        <w:t xml:space="preserve"> </w:t>
      </w:r>
      <w:r>
        <w:t xml:space="preserve">interface-recombination channel — and are 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partner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partner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(partner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partner Base Model (faithful-default history).</w:t>
      </w:r>
    </w:p>
    <w:p>
      <w:pPr>
        <w:pStyle w:val="BodyText"/>
      </w:pPr>
      <w:r>
        <w:rPr>
          <w:bCs/>
          <w:b/>
        </w:rPr>
        <w:t xml:space="preserve">Four-config comparison (2026-06-22).</w:t>
      </w:r>
      <w:r>
        <w:t xml:space="preserve"> </w:t>
      </w:r>
      <w:r>
        <w:t xml:space="preserve">Table 1c is the base operating point for the three SolarLab configurations compared in this revision against SCAPS: the two transient de-spike fractions (f = 0.53, 0.66)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with the calibrated per-interface channel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= 0.02 HTL/PVK, 0.10 PVK/ETL; Section 5.3).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f=0.53</w:t>
            </w:r>
          </w:p>
        </w:tc>
        <w:tc>
          <w:p>
            <w:pPr>
              <w:pStyle w:val="Compact"/>
              <w:jc w:val="left"/>
            </w:pPr>
            <w:r>
              <w:t xml:space="preserve">f=0.66</w:t>
            </w:r>
          </w:p>
        </w:tc>
        <w:tc>
          <w:p>
            <w:pPr>
              <w:pStyle w:val="Compact"/>
              <w:jc w:val="left"/>
            </w:pPr>
            <w:r>
              <w:t xml:space="preserve">SS interface-states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diff(SS)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1.1638</w:t>
            </w:r>
          </w:p>
        </w:tc>
        <w:tc>
          <w:p>
            <w:pPr>
              <w:pStyle w:val="Compact"/>
              <w:jc w:val="left"/>
            </w:pPr>
            <w:r>
              <w:t xml:space="preserve">1.1809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1.1675</w:t>
            </w:r>
          </w:p>
        </w:tc>
        <w:tc>
          <w:p>
            <w:pPr>
              <w:pStyle w:val="Compact"/>
              <w:jc w:val="left"/>
            </w:pPr>
            <w:r>
              <w:t xml:space="preserve">1.1676</w:t>
            </w:r>
          </w:p>
        </w:tc>
        <w:tc>
          <w:p>
            <w:pPr>
              <w:pStyle w:val="Compact"/>
              <w:jc w:val="left"/>
            </w:pPr>
            <w:r>
              <w:t xml:space="preserve">-0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-0.56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87.32</w:t>
            </w:r>
          </w:p>
        </w:tc>
        <w:tc>
          <w:p>
            <w:pPr>
              <w:pStyle w:val="Compact"/>
              <w:jc w:val="left"/>
            </w:pPr>
            <w:r>
              <w:t xml:space="preserve">86.96</w:t>
            </w:r>
          </w:p>
        </w:tc>
        <w:tc>
          <w:p>
            <w:pPr>
              <w:pStyle w:val="Compact"/>
              <w:jc w:val="left"/>
            </w:pPr>
            <w:r>
              <w:t xml:space="preserve">88.76</w:t>
            </w:r>
          </w:p>
        </w:tc>
        <w:tc>
          <w:p>
            <w:pPr>
              <w:pStyle w:val="Compact"/>
              <w:jc w:val="left"/>
            </w:pPr>
            <w:r>
              <w:t xml:space="preserve">86.99</w:t>
            </w:r>
          </w:p>
        </w:tc>
        <w:tc>
          <w:p>
            <w:pPr>
              <w:pStyle w:val="Compact"/>
              <w:jc w:val="left"/>
            </w:pPr>
            <w:r>
              <w:t xml:space="preserve">+1.77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26.14</w:t>
            </w:r>
          </w:p>
        </w:tc>
        <w:tc>
          <w:p>
            <w:pPr>
              <w:pStyle w:val="Compact"/>
              <w:jc w:val="left"/>
            </w:pPr>
            <w:r>
              <w:t xml:space="preserve">26.41</w:t>
            </w:r>
          </w:p>
        </w:tc>
        <w:tc>
          <w:p>
            <w:pPr>
              <w:pStyle w:val="Compact"/>
              <w:jc w:val="left"/>
            </w:pPr>
            <w:r>
              <w:t xml:space="preserve">26.52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-0.17</w:t>
            </w:r>
          </w:p>
        </w:tc>
      </w:tr>
    </w:tbl>
    <w:p>
      <w:pPr>
        <w:pStyle w:val="BodyText"/>
      </w:pPr>
      <w:r>
        <w:t xml:space="preserve">Table 1c. Base operating point, four configurations. The SS driver with the calibrated interface channel lands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 to -0 mV (the calibration target). The SS J</w:t>
      </w:r>
      <w:r>
        <w:rPr>
          <w:vertAlign w:val="subscript"/>
        </w:rPr>
        <w:t xml:space="preserve">sc</w:t>
      </w:r>
      <w:r>
        <w:t xml:space="preserve"> </w:t>
      </w:r>
      <w:r>
        <w:t xml:space="preserve">matches the transient value (optics-set).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7" w:name="X0e29db1e3e01baefd242f092c8010f6f1cd3e16"/>
    <w:p>
      <w:pPr>
        <w:pStyle w:val="Heading1"/>
      </w:pPr>
      <w:r>
        <w:t xml:space="preserve">4. Sweep-by-sweep comparison: transient f=0.53 / f=0.66 / SS interface-states</w:t>
      </w:r>
    </w:p>
    <w:p>
      <w:pPr>
        <w:pStyle w:val="FirstParagraph"/>
      </w:pPr>
      <w:r>
        <w:t xml:space="preserve">Each of the eleven sweeps is a four-panel overlay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PCE). Four configurations are compared: SCAPS (red, dashed), the two transient de-spike fractions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(blue)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(green),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(purple, calibrated interface channel). All four carry the full set of figures of merit at every sweep point: the SS</w:t>
      </w:r>
      <w:r>
        <w:t xml:space="preserve"> </w:t>
      </w:r>
      <w:r>
        <w:rPr>
          <w:bCs/>
          <w:b/>
        </w:rPr>
        <w:t xml:space="preserve">V</w:t>
      </w:r>
      <w:r>
        <w:rPr>
          <w:vertAlign w:val="subscript"/>
          <w:bCs/>
          <w:b/>
        </w:rPr>
        <w:t xml:space="preserve">oc</w:t>
      </w:r>
      <w:r>
        <w:t xml:space="preserve"> </w:t>
      </w:r>
      <w:r>
        <w:t xml:space="preserve">is a direct J=0 bisection (</w:t>
      </w:r>
      <w:r>
        <w:rPr>
          <w:rStyle w:val="VerbatimChar"/>
        </w:rPr>
        <w:t xml:space="preserve">solve_voc_ss</w:t>
      </w:r>
      <w:r>
        <w:t xml:space="preserve">), and the SS</w:t>
      </w:r>
      <w:r>
        <w:t xml:space="preserve"> </w:t>
      </w:r>
      <w:r>
        <w:rPr>
          <w:bCs/>
          <w:b/>
        </w:rPr>
        <w:t xml:space="preserve">J</w:t>
      </w:r>
      <w:r>
        <w:rPr>
          <w:vertAlign w:val="subscript"/>
          <w:bCs/>
          <w:b/>
        </w:rPr>
        <w:t xml:space="preserve">sc</w:t>
      </w:r>
      <w:r>
        <w:rPr>
          <w:bCs/>
          <w:b/>
        </w:rPr>
        <w:t xml:space="preserve"> </w:t>
      </w:r>
      <w:r>
        <w:rPr>
          <w:bCs/>
          <w:b/>
        </w:rPr>
        <w:t xml:space="preserve">/ FF / PCE</w:t>
      </w:r>
      <w:r>
        <w:t xml:space="preserve"> </w:t>
      </w:r>
      <w:r>
        <w:t xml:space="preserve">come from a steady-state J-V continuation (</w:t>
      </w:r>
      <w:r>
        <w:rPr>
          <w:rStyle w:val="VerbatimChar"/>
        </w:rPr>
        <w:t xml:space="preserve">run_jv_sweep_ss</w:t>
      </w:r>
      <w:r>
        <w:t xml:space="preserve">) run to just past each point’s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(continuing into deep forward injection, V &gt;&gt; V</w:t>
      </w:r>
      <w:r>
        <w:rPr>
          <w:vertAlign w:val="subscript"/>
        </w:rPr>
        <w:t xml:space="preserve">oc</w:t>
      </w:r>
      <w:r>
        <w:t xml:space="preserve">, was the sole cause of the earlier non-convergence — bounding V</w:t>
      </w:r>
      <w:r>
        <w:rPr>
          <w:vertAlign w:val="subscript"/>
        </w:rPr>
        <w:t xml:space="preserve">max</w:t>
      </w:r>
      <w:r>
        <w:t xml:space="preserve"> </w:t>
      </w:r>
      <w:r>
        <w:t xml:space="preserve">to V</w:t>
      </w:r>
      <w:r>
        <w:rPr>
          <w:vertAlign w:val="subscript"/>
        </w:rPr>
        <w:t xml:space="preserve">oc</w:t>
      </w:r>
      <w:r>
        <w:t xml:space="preserve"> </w:t>
      </w:r>
      <w:r>
        <w:t xml:space="preserve">+ 40 mV makes the full-FOM SS curve fast and complete). Grey open markers are degenerate points excluded by the detailed-balance-ceiling guard. The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 is Table 2. (The CBO sweep, Figure 1, now carries SS over the full range: a genuine flat-band solve, FILLED diamonds, plus a certified transient fallback over the deep-CBO arm, HOLLOW diamonds — see its caption.)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/PVK conduction-band offset (\Delta E_C). Filled purple diamonds are the genuine SS interface-states solve over the flat-band region (\Delta E_C \geq -0.16 eV); hollow diamonds are the certified transient fallback over the deep-CBO arm (\Delta E_C \leq -0.2 eV), where the collapsed junction is unreachable by the SS Newton. The SS curve sits on the transient throughout — CBO is a band-offset effect, so SS \approx the transient (not interface-limited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</m:oMath>
      <w:r>
        <w:t xml:space="preserve">). Filled purple diamonds are the genuine SS interface-states solve over the flat-band region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−</m:t>
        </m:r>
        <m:r>
          <m:t>0.16</m:t>
        </m:r>
      </m:oMath>
      <w:r>
        <w:t xml:space="preserve"> </w:t>
      </w:r>
      <w:r>
        <w:t xml:space="preserve">eV); hollow diamonds are the certified transient fallback over the deep-CBO arm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eV), where the collapsed junction is unreachable by the SS Newton. The SS curve sits on the transient throughout — CBO is a band-offset effect, so SS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the transient (not interface-limited).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 donor doping (ND). The transient curves are U-shaped (direction mismatch); the SS interface-states Voc rises with doping, matching the SCAPS direction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 The transient curves are U-shaped (direction mismatch); the SS interface-states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doping, matching the SCAPS direction.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SCAPS range (mV)</w:t>
            </w:r>
          </w:p>
        </w:tc>
        <w:tc>
          <w:p>
            <w:pPr>
              <w:pStyle w:val="Compact"/>
              <w:jc w:val="left"/>
            </w:pPr>
            <w:r>
              <w:t xml:space="preserve">f = 0.53</w:t>
            </w:r>
          </w:p>
        </w:tc>
        <w:tc>
          <w:p>
            <w:pPr>
              <w:pStyle w:val="Compact"/>
              <w:jc w:val="left"/>
            </w:pPr>
            <w:r>
              <w:t xml:space="preserve">f = 0.66</w:t>
            </w:r>
          </w:p>
        </w:tc>
        <w:tc>
          <w:p>
            <w:pPr>
              <w:pStyle w:val="Compact"/>
              <w:jc w:val="left"/>
            </w:pPr>
            <w:r>
              <w:t xml:space="preserve">SS states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918.0</w:t>
            </w:r>
          </w:p>
        </w:tc>
        <w:tc>
          <w:p>
            <w:pPr>
              <w:pStyle w:val="Compact"/>
              <w:jc w:val="left"/>
            </w:pPr>
            <w:r>
              <w:t xml:space="preserve">85% ok</w:t>
            </w:r>
          </w:p>
        </w:tc>
        <w:tc>
          <w:p>
            <w:pPr>
              <w:pStyle w:val="Compact"/>
              <w:jc w:val="left"/>
            </w:pPr>
            <w:r>
              <w:t xml:space="preserve">88% ok</w:t>
            </w:r>
          </w:p>
        </w:tc>
        <w:tc>
          <w:p>
            <w:pPr>
              <w:pStyle w:val="Compact"/>
              <w:jc w:val="left"/>
            </w:pPr>
            <w:r>
              <w:t xml:space="preserve">86% ok (8 SS + 6 fb)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137.1</w:t>
            </w:r>
          </w:p>
        </w:tc>
        <w:tc>
          <w:p>
            <w:pPr>
              <w:pStyle w:val="Compact"/>
              <w:jc w:val="left"/>
            </w:pPr>
            <w:r>
              <w:t xml:space="preserve">18% MISMATCH</w:t>
            </w:r>
          </w:p>
        </w:tc>
        <w:tc>
          <w:p>
            <w:pPr>
              <w:pStyle w:val="Compact"/>
              <w:jc w:val="left"/>
            </w:pPr>
            <w:r>
              <w:t xml:space="preserve">23% MISMATCH</w:t>
            </w:r>
          </w:p>
        </w:tc>
        <w:tc>
          <w:p>
            <w:pPr>
              <w:pStyle w:val="Compact"/>
              <w:jc w:val="left"/>
            </w:pPr>
            <w:r>
              <w:t xml:space="preserve">189%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34.0</w:t>
            </w:r>
          </w:p>
        </w:tc>
        <w:tc>
          <w:p>
            <w:pPr>
              <w:pStyle w:val="Compact"/>
              <w:jc w:val="left"/>
            </w:pPr>
            <w:r>
              <w:t xml:space="preserve">17% ok</w:t>
            </w:r>
          </w:p>
        </w:tc>
        <w:tc>
          <w:p>
            <w:pPr>
              <w:pStyle w:val="Compact"/>
              <w:jc w:val="left"/>
            </w:pPr>
            <w:r>
              <w:t xml:space="preserve">29% MISMATCH</w:t>
            </w:r>
          </w:p>
        </w:tc>
        <w:tc>
          <w:p>
            <w:pPr>
              <w:pStyle w:val="Compact"/>
              <w:jc w:val="left"/>
            </w:pPr>
            <w:r>
              <w:t xml:space="preserve">10%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38.6</w:t>
            </w:r>
          </w:p>
        </w:tc>
        <w:tc>
          <w:p>
            <w:pPr>
              <w:pStyle w:val="Compact"/>
              <w:jc w:val="left"/>
            </w:pPr>
            <w:r>
              <w:t xml:space="preserve">69% ok</w:t>
            </w:r>
          </w:p>
        </w:tc>
        <w:tc>
          <w:p>
            <w:pPr>
              <w:pStyle w:val="Compact"/>
              <w:jc w:val="left"/>
            </w:pPr>
            <w:r>
              <w:t xml:space="preserve">94%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10.8</w:t>
            </w:r>
          </w:p>
        </w:tc>
        <w:tc>
          <w:p>
            <w:pPr>
              <w:pStyle w:val="Compact"/>
              <w:jc w:val="left"/>
            </w:pPr>
            <w:r>
              <w:t xml:space="preserve">248% ok</w:t>
            </w:r>
          </w:p>
        </w:tc>
        <w:tc>
          <w:p>
            <w:pPr>
              <w:pStyle w:val="Compact"/>
              <w:jc w:val="left"/>
            </w:pPr>
            <w:r>
              <w:t xml:space="preserve">339% ok</w:t>
            </w:r>
          </w:p>
        </w:tc>
        <w:tc>
          <w:p>
            <w:pPr>
              <w:pStyle w:val="Compact"/>
              <w:jc w:val="left"/>
            </w:pPr>
            <w:r>
              <w:t xml:space="preserve">227%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101%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281.7</w:t>
            </w:r>
          </w:p>
        </w:tc>
        <w:tc>
          <w:p>
            <w:pPr>
              <w:pStyle w:val="Compact"/>
              <w:jc w:val="left"/>
            </w:pPr>
            <w:r>
              <w:t xml:space="preserve">72% ok</w:t>
            </w:r>
          </w:p>
        </w:tc>
        <w:tc>
          <w:p>
            <w:pPr>
              <w:pStyle w:val="Compact"/>
              <w:jc w:val="left"/>
            </w:pPr>
            <w:r>
              <w:t xml:space="preserve">80%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211% flat/flat</w:t>
            </w:r>
          </w:p>
        </w:tc>
        <w:tc>
          <w:p>
            <w:pPr>
              <w:pStyle w:val="Compact"/>
              <w:jc w:val="left"/>
            </w:pPr>
            <w:r>
              <w:t xml:space="preserve">427% ok</w:t>
            </w:r>
          </w:p>
        </w:tc>
        <w:tc>
          <w:p>
            <w:pPr>
              <w:pStyle w:val="Compact"/>
              <w:jc w:val="left"/>
            </w:pPr>
            <w:r>
              <w:t xml:space="preserve">228%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210% flat/flat</w:t>
            </w:r>
          </w:p>
        </w:tc>
        <w:tc>
          <w:p>
            <w:pPr>
              <w:pStyle w:val="Compact"/>
              <w:jc w:val="left"/>
            </w:pPr>
            <w:r>
              <w:t xml:space="preserve">425% ok</w:t>
            </w:r>
          </w:p>
        </w:tc>
        <w:tc>
          <w:p>
            <w:pPr>
              <w:pStyle w:val="Compact"/>
              <w:jc w:val="left"/>
            </w:pPr>
            <w:r>
              <w:t xml:space="preserve">227%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34.5</w:t>
            </w:r>
          </w:p>
        </w:tc>
        <w:tc>
          <w:p>
            <w:pPr>
              <w:pStyle w:val="Compact"/>
              <w:jc w:val="left"/>
            </w:pPr>
            <w:r>
              <w:t xml:space="preserve">23% ok</w:t>
            </w:r>
          </w:p>
        </w:tc>
        <w:tc>
          <w:p>
            <w:pPr>
              <w:pStyle w:val="Compact"/>
              <w:jc w:val="left"/>
            </w:pPr>
            <w:r>
              <w:t xml:space="preserve">49% ok</w:t>
            </w:r>
          </w:p>
        </w:tc>
        <w:tc>
          <w:p>
            <w:pPr>
              <w:pStyle w:val="Compact"/>
              <w:jc w:val="left"/>
            </w:pPr>
            <w:r>
              <w:t xml:space="preserve">36% ok</w:t>
            </w:r>
          </w:p>
        </w:tc>
      </w:tr>
    </w:tbl>
    <w:p>
      <w:pPr>
        <w:pStyle w:val="BodyText"/>
      </w:pPr>
      <w:r>
        <w:t xml:space="preserve">Table 2.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scorecard. Closure % = SolarLab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/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range;</w:t>
      </w:r>
      <w:r>
        <w:t xml:space="preserve"> </w:t>
      </w:r>
      <w:r>
        <w:rPr>
          <w:iCs/>
          <w:i/>
        </w:rPr>
        <w:t xml:space="preserve">ok</w:t>
      </w:r>
      <w:r>
        <w:t xml:space="preserve"> </w:t>
      </w:r>
      <w:r>
        <w:t xml:space="preserve">= correct direction,</w:t>
      </w:r>
      <w:r>
        <w:t xml:space="preserve"> </w:t>
      </w:r>
      <w:r>
        <w:rPr>
          <w:iCs/>
          <w:i/>
        </w:rPr>
        <w:t xml:space="preserve">MISMATCH</w:t>
      </w:r>
      <w:r>
        <w:t xml:space="preserve"> </w:t>
      </w:r>
      <w:r>
        <w:t xml:space="preserve">= reversed,</w:t>
      </w:r>
      <w:r>
        <w:t xml:space="preserve"> </w:t>
      </w:r>
      <w:r>
        <w:rPr>
          <w:iCs/>
          <w:i/>
        </w:rPr>
        <w:t xml:space="preserve">flat/flat</w:t>
      </w:r>
      <w:r>
        <w:t xml:space="preserve"> </w:t>
      </w:r>
      <w:r>
        <w:t xml:space="preserve">= both solvers &lt; 1 mV. The SS-states column uses the calibrated interface channel.</w:t>
      </w:r>
    </w:p>
    <w:p>
      <w:pPr>
        <w:pStyle w:val="BodyText"/>
      </w:pPr>
      <w:r>
        <w:rPr>
          <w:bCs/>
          <w:b/>
        </w:rPr>
        <w:t xml:space="preserve">The steady-state interface-states series.</w:t>
      </w:r>
      <w:r>
        <w:t xml:space="preserve"> </w:t>
      </w:r>
      <w:r>
        <w:t xml:space="preserve">Two things distinguish it from the transient de-spike curves. (i)</w:t>
      </w:r>
      <w:r>
        <w:t xml:space="preserve"> </w:t>
      </w:r>
      <w:r>
        <w:rPr>
          <w:bCs/>
          <w:b/>
        </w:rPr>
        <w:t xml:space="preserve">Direction:</w:t>
      </w:r>
      <w:r>
        <w:t xml:space="preserve"> </w:t>
      </w:r>
      <w:r>
        <w:t xml:space="preserve">it recovers the ETL-donor-doping rising arm that both transient fractions get backwards (Section 4.1) — the only sweep no de-spike value can fix. (ii)</w:t>
      </w:r>
      <w:r>
        <w:t xml:space="preserve"> </w:t>
      </w:r>
      <w:r>
        <w:rPr>
          <w:bCs/>
          <w:b/>
        </w:rPr>
        <w:t xml:space="preserve">Calibration:</w:t>
      </w:r>
      <w:r>
        <w:t xml:space="preserve"> </w:t>
      </w:r>
      <w:r>
        <w:t xml:space="preserve">the interface-plane channel was over-strong (base -61 mV, Nd_ETL ~2x over,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~12x over); a per-interface calibration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0.02 HTL/PVK, 0.10 PVK/ETL; Section 5.3) brings the base to -0.1 mV, Nd_ETL to 0.84x, and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to 1.0x of SCAPS while holding 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at 63 %, all directions matched. The transient f=0.53/0.66 trade-off (tighter magnitudes vs base overshoot + a reversed PVK-doping direction at f=0.66) is unchanged from the de-spike analysis.</w:t>
      </w:r>
    </w:p>
    <w:bookmarkStart w:id="36" w:name="X3805dee2080f577cb72dd2018fc584950c85025"/>
    <w:p>
      <w:pPr>
        <w:pStyle w:val="Heading2"/>
      </w:pPr>
      <w:r>
        <w:t xml:space="preserve">4.1 Recovering the ETL-doping direction with steady-state interface-states</w:t>
      </w:r>
    </w:p>
    <w:p>
      <w:pPr>
        <w:pStyle w:val="FirstParagraph"/>
      </w:pPr>
      <w:r>
        <w:t xml:space="preserve">The ETL donor-doping sweep is the one trend no de-spike fraction can fix</w:t>
      </w:r>
      <w:r>
        <w:t xml:space="preserve"> </w:t>
      </w:r>
      <w:r>
        <w:t xml:space="preserve">(Table 2, mismatched at both f): on the transient path SolarLab’s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</w:t>
      </w:r>
      <w:r>
        <w:t xml:space="preserve"> </w:t>
      </w:r>
      <w:r>
        <w:t xml:space="preserve">U-shaped while SCAPS rises monotonically. The cause is structural, not a tuning</w:t>
      </w:r>
      <w:r>
        <w:t xml:space="preserve"> </w:t>
      </w:r>
      <w:r>
        <w:t xml:space="preserve">gap. SCAPS’s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because higher ETL doping raises the flat-band built-in</w:t>
      </w:r>
      <w:r>
        <w:t xml:space="preserve"> </w:t>
      </w:r>
      <w:r>
        <w:t xml:space="preserve">potential —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H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−</m:t>
        </m:r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χ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+</m:t>
        </m:r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)</m:t>
        </m:r>
      </m:oMath>
      <w:r>
        <w:t xml:space="preserve">, so a larger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shrinks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and lifts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. SolarLab’s</w:t>
      </w:r>
      <w:r>
        <w:t xml:space="preserve"> </w:t>
      </w:r>
      <w:r>
        <w:rPr>
          <w:iCs/>
          <w:i/>
        </w:rPr>
        <w:t xml:space="preserve">transient</w:t>
      </w:r>
      <w:r>
        <w:t xml:space="preserve"> </w:t>
      </w:r>
      <w:r>
        <w:t xml:space="preserve">Poisson boundary pins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at the YAML constant (1.30 V) regardless of doping, so that rise never</w:t>
      </w:r>
      <w:r>
        <w:t xml:space="preserve"> </w:t>
      </w:r>
      <w:r>
        <w:t xml:space="preserve">enters the solution; and the interface recombination is sampled at bulk grid</w:t>
      </w:r>
      <w:r>
        <w:t xml:space="preserve"> </w:t>
      </w:r>
      <w:r>
        <w:t xml:space="preserve">nodes where the band-offset pile-up swamps the doping-dependent ETL selectivity.</w:t>
      </w:r>
      <w:r>
        <w:t xml:space="preserve"> </w:t>
      </w:r>
      <w:r>
        <w:t xml:space="preserve">De-spike acts only on bulk Auger, so it cannot reach either mechanism.</w:t>
      </w:r>
    </w:p>
    <w:p>
      <w:pPr>
        <w:pStyle w:val="BodyText"/>
      </w:pPr>
      <w:r>
        <w:t xml:space="preserve">Routing the same sweep through the steady-state interface-plane-states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solve_voc_ss(iface_states=True)</w:t>
      </w:r>
      <w:r>
        <w:t xml:space="preserve">, which uses the doping-dependent flat-band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and live interface-plane carrier densities) recovers the SCAPS</w:t>
      </w:r>
      <w:r>
        <w:t xml:space="preserve"> </w:t>
      </w:r>
      <w:r>
        <w:t xml:space="preserve">direction: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now rises monotonically with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(0.979 -&gt; 1.171 V</w:t>
      </w:r>
      <w:r>
        <w:t xml:space="preserve"> </w:t>
      </w:r>
      <w:r>
        <w:t xml:space="preserve">across 10</w:t>
      </w:r>
      <w:r>
        <w:rPr>
          <w:vertAlign w:val="superscript"/>
        </w:rPr>
        <w:t xml:space="preserve">13</w:t>
      </w:r>
      <w:r>
        <w:t xml:space="preserve"> </w:t>
      </w:r>
      <w:r>
        <w:t xml:space="preserve">-&gt; 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, +192 mV; SCAPS +99 mV over the same arm). The</w:t>
      </w:r>
      <w:r>
        <w:t xml:space="preserve"> </w:t>
      </w:r>
      <w:r>
        <w:t xml:space="preserve">direction is correct — the campaign’s longest-standing mismatch resolved —</w:t>
      </w:r>
      <w:r>
        <w:t xml:space="preserve"> </w:t>
      </w:r>
      <w:r>
        <w:t xml:space="preserve">though the interface channel over-responds in magnitude and the absolute sits</w:t>
      </w:r>
      <w:r>
        <w:t xml:space="preserve"> </w:t>
      </w:r>
      <w:r>
        <w:t xml:space="preserve">~70-160 mV below SCAPS (its carrier-density calibration is the named residual).</w:t>
      </w:r>
      <w:r>
        <w:t xml:space="preserve"> </w:t>
      </w:r>
      <w:r>
        <w:t xml:space="preserve">The cost is ~0.5-12 min per V</w:t>
      </w:r>
      <w:r>
        <w:rPr>
          <w:vertAlign w:val="subscript"/>
        </w:rPr>
        <w:t xml:space="preserve">oc</w:t>
      </w:r>
      <w:r>
        <w:t xml:space="preserve"> </w:t>
      </w:r>
      <w:r>
        <w:t xml:space="preserve">point vs 7 s for the transient, which is why</w:t>
      </w:r>
      <w:r>
        <w:t xml:space="preserve"> </w:t>
      </w:r>
      <w:r>
        <w:t xml:space="preserve">the eleven-sweep figures above use the fast transient path.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ETL donor doping Voc: the transient de-spike curves (f=0.53 blue, f=0.66 green) are U-shaped — direction mismatch — while the steady-state interface-states driver (purple) rises monotonically with doping, matching the SCAPS direction. Magnitude over-responds and the absolute sits below SCAPS (the interface-channel calibration residual)." title="" id="1" name="Picture"/>
            <a:graphic>
              <a:graphicData uri="http://schemas.openxmlformats.org/drawingml/2006/picture">
                <pic:pic>
                  <pic:nvPicPr>
                    <pic:cNvPr descr="../figures/scaps_despike_compare/sweep_Nd_ETL_SS_vo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V</w:t>
      </w:r>
      <w:r>
        <w:rPr>
          <w:vertAlign w:val="subscript"/>
        </w:rPr>
        <w:t xml:space="preserve">oc</w:t>
      </w:r>
      <w:r>
        <w:t xml:space="preserve">: the transient de-spike curves (f=0.53 blue, f=0.66</w:t>
      </w:r>
      <w:r>
        <w:t xml:space="preserve"> </w:t>
      </w:r>
      <w:r>
        <w:t xml:space="preserve">green) are U-shaped — direction mismatch — while the steady-state</w:t>
      </w:r>
      <w:r>
        <w:t xml:space="preserve"> </w:t>
      </w:r>
      <w:r>
        <w:t xml:space="preserve">interface-states driver (purple) rises monotonically with doping, matching the</w:t>
      </w:r>
      <w:r>
        <w:t xml:space="preserve"> </w:t>
      </w:r>
      <w:r>
        <w:t xml:space="preserve">SCAPS direction. Magnitude over-responds and the absolute sits below SCAPS (the</w:t>
      </w:r>
      <w:r>
        <w:t xml:space="preserve"> </w:t>
      </w:r>
      <w:r>
        <w:t xml:space="preserve">interface-channel calibration residual).</w:t>
      </w:r>
    </w:p>
    <w:bookmarkEnd w:id="36"/>
    <w:bookmarkEnd w:id="37"/>
    <w:bookmarkStart w:id="41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bulk-defect sweeps: a sweep-wiring defect, found and fixed.</w:t>
      </w:r>
      <w:r>
        <w:t xml:space="preserve"> </w:t>
      </w:r>
      <w:r>
        <w:t xml:space="preserve">The</w:t>
      </w:r>
      <w:r>
        <w:t xml:space="preserve"> </w:t>
      </w:r>
      <w:r>
        <w:t xml:space="preserve">previous revision reported the perovskite CB/VB bulk defect-density sweeps as</w:t>
      </w:r>
      <w:r>
        <w:t xml:space="preserve"> </w:t>
      </w:r>
      <w:r>
        <w:t xml:space="preserve">fully masked (0 mV). Most of that flatness was an artifact: the sweep machinery</w:t>
      </w:r>
      <w:r>
        <w:t xml:space="preserve"> </w:t>
      </w:r>
      <w:r>
        <w:t xml:space="preserve">ratio-scaled the bulk SRH lifetime against a hardcoded absolute reference of</w:t>
      </w:r>
      <w:r>
        <w:t xml:space="preserve"> </w:t>
      </w:r>
      <w:r>
        <w:t xml:space="preserve">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, while the configuration’s base lifetime corresponds to its</w:t>
      </w:r>
      <w:r>
        <w:t xml:space="preserve"> </w:t>
      </w:r>
      <w:r>
        <w:t xml:space="preserve">declared 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defects — so every swept point in the partner range ran</w:t>
      </w:r>
      <w:r>
        <w:t xml:space="preserve"> </w:t>
      </w:r>
      <w:r>
        <w:t xml:space="preserve">with a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lifetime than the baseline and the recombination knob was never</w:t>
      </w:r>
      <w:r>
        <w:t xml:space="preserve"> </w:t>
      </w:r>
      <w:r>
        <w:t xml:space="preserve">actually turned. With the lifetime now ratio-scaled off the configuration’s own</w:t>
      </w:r>
      <w:r>
        <w:t xml:space="preserve"> </w:t>
      </w:r>
      <w:r>
        <w:t xml:space="preserve">declared density, both sweeps reproduce the SCAPS V</w:t>
      </w:r>
      <w:r>
        <w:rPr>
          <w:vertAlign w:val="subscript"/>
        </w:rPr>
        <w:t xml:space="preserve">oc</w:t>
      </w:r>
      <w:r>
        <w:t xml:space="preserve">/PCE descent in</w:t>
      </w:r>
      <w:r>
        <w:t xml:space="preserve"> </w:t>
      </w:r>
      <w:r>
        <w:t xml:space="preserve">direction (VB: 41 % of the SCAPS range; CB: 11 %). The residual magnitude gap</w:t>
      </w:r>
      <w:r>
        <w:t xml:space="preserve"> </w:t>
      </w:r>
      <w:r>
        <w:t xml:space="preserve">is the genuine physics remainder: the swept trap is shallow (0.1 eV below the</w:t>
      </w:r>
      <w:r>
        <w:t xml:space="preserve"> </w:t>
      </w:r>
      <w:r>
        <w:t xml:space="preserve">conduction band, hence weakly recombining even in SCAPS), and SolarLab’s higher</w:t>
      </w:r>
      <w:r>
        <w:t xml:space="preserve"> </w:t>
      </w:r>
      <w:r>
        <w:t xml:space="preserve">interface-recombination floor partially masks the response.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the remaining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partially masks the bulk-defect responses discussed</w:t>
      </w:r>
      <w:r>
        <w:t xml:space="preserve"> </w:t>
      </w:r>
      <w:r>
        <w:t xml:space="preserve">above, and (iv) damps 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Start w:id="38" w:name="X3afa80b254ab6a5b38f419aab59c877e26c7631"/>
    <w:p>
      <w:pPr>
        <w:pStyle w:val="Heading2"/>
      </w:pPr>
      <w:r>
        <w:t xml:space="preserve">5.1 Interface-plane closure for defect-interface recombination</w:t>
      </w:r>
    </w:p>
    <w:p>
      <w:pPr>
        <w:pStyle w:val="FirstParagraph"/>
      </w:pPr>
      <w:r>
        <w:t xml:space="preserve">After this report’s main analysis was frozen, the named residual mechanism was</w:t>
      </w:r>
      <w:r>
        <w:t xml:space="preserve"> </w:t>
      </w:r>
      <w:r>
        <w:t xml:space="preserve">addressed directly: an optional</w:t>
      </w:r>
      <w:r>
        <w:t xml:space="preserve"> </w:t>
      </w:r>
      <w:r>
        <w:rPr>
          <w:iCs/>
          <w:i/>
        </w:rPr>
        <w:t xml:space="preserve">interface-plane closure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interface_plane_closure</w:t>
      </w:r>
      <w:r>
        <w:t xml:space="preserve">, default off) evaluates defect-interface</w:t>
      </w:r>
      <w:r>
        <w:t xml:space="preserve"> </w:t>
      </w:r>
      <w:r>
        <w:t xml:space="preserve">recombination on true interface-plane carrier densities, solved per evaluation</w:t>
      </w:r>
      <w:r>
        <w:t xml:space="preserve"> </w:t>
      </w:r>
      <w:r>
        <w:t xml:space="preserve">from a local implicit flux balance (supply-limited; the plane gap is the</w:t>
      </w:r>
      <w:r>
        <w:t xml:space="preserve"> </w:t>
      </w:r>
      <w:r>
        <w:t xml:space="preserve">reduced interface gap, which carries the band-offset cliff physics; the trap</w:t>
      </w:r>
      <w:r>
        <w:t xml:space="preserve"> </w:t>
      </w:r>
      <w:r>
        <w:t xml:space="preserve">level is clamped to that gap). It is the fifth interface formulation attempted</w:t>
      </w:r>
      <w:r>
        <w:t xml:space="preserve"> </w:t>
      </w:r>
      <w:r>
        <w:t xml:space="preserve">and the first with a net-positive measured outcome: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corrected config</w:t>
            </w:r>
          </w:p>
        </w:tc>
        <w:tc>
          <w:p>
            <w:pPr>
              <w:pStyle w:val="Compact"/>
              <w:jc w:val="left"/>
            </w:pPr>
            <w:r>
              <w:t xml:space="preserve">+ plane closure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 (flat)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 mV (70 %)</w:t>
            </w:r>
          </w:p>
        </w:tc>
        <w:tc>
          <w:p>
            <w:pPr>
              <w:pStyle w:val="Compact"/>
              <w:jc w:val="left"/>
            </w:pPr>
            <w:r>
              <w:t xml:space="preserve">5.2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 (80 %)</w:t>
            </w:r>
          </w:p>
        </w:tc>
        <w:tc>
          <w:p>
            <w:pPr>
              <w:pStyle w:val="Compact"/>
              <w:jc w:val="left"/>
            </w:pPr>
            <w:r>
              <w:t xml:space="preserve">707 mV (77 %)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 (53 %)</w:t>
            </w:r>
          </w:p>
        </w:tc>
        <w:tc>
          <w:p>
            <w:pPr>
              <w:pStyle w:val="Compact"/>
              <w:jc w:val="left"/>
            </w:pPr>
            <w:r>
              <w:t xml:space="preserve">127 mV (45 %)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/ other sweeps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HTL/PVK interface — flat in SolarLab under every previous formulation</w:t>
      </w:r>
      <w:r>
        <w:t xml:space="preserve"> </w:t>
      </w:r>
      <w:r>
        <w:t xml:space="preserve">across six decades of surface-recombination velocity — now reproduces 70 % of</w:t>
      </w:r>
      <w:r>
        <w:t xml:space="preserve"> </w:t>
      </w:r>
      <w:r>
        <w:t xml:space="preserve">SCAPS’s response, at a small cost in the two large interface sweeps and no</w:t>
      </w:r>
      <w:r>
        <w:t xml:space="preserve"> </w:t>
      </w:r>
      <w:r>
        <w:t xml:space="preserve">change elsewhere. A combined probe (closure + flat-band contacts)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recover the ETL-doping rising arm, confirming that sweep, the PVK/ETL trap</w:t>
      </w:r>
      <w:r>
        <w:t xml:space="preserve"> </w:t>
      </w:r>
      <w:r>
        <w:t xml:space="preserve">energy, and the residual base offset as the remaining open items.</w:t>
      </w:r>
    </w:p>
    <w:bookmarkEnd w:id="38"/>
    <w:bookmarkStart w:id="39" w:name="X5d9d5d7ad7493fe412d9fbe61f0c2e13f43e0f6"/>
    <w:p>
      <w:pPr>
        <w:pStyle w:val="Heading2"/>
      </w:pPr>
      <w:r>
        <w:t xml:space="preserve">5.2 A direct steady-state solver and two-method cross-validation</w:t>
      </w:r>
    </w:p>
    <w:p>
      <w:pPr>
        <w:pStyle w:val="FirstParagraph"/>
      </w:pPr>
      <w:r>
        <w:t xml:space="preserve">The direct steady-state solve named above has since been built and</w:t>
      </w:r>
      <w:r>
        <w:t xml:space="preserve"> </w:t>
      </w:r>
      <w:r>
        <w:t xml:space="preserve">validated: the new driver solves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discretised physics the</w:t>
      </w:r>
      <w:r>
        <w:t xml:space="preserve"> </w:t>
      </w:r>
      <w:r>
        <w:t xml:space="preserve">transient integrates (one implementation, two solution methods), with a</w:t>
      </w:r>
      <w:r>
        <w:t xml:space="preserve"> </w:t>
      </w:r>
      <w:r>
        <w:t xml:space="preserve">damped Newton iteration, a smoothed thermionic-emission cap, and a</w:t>
      </w:r>
      <w:r>
        <w:t xml:space="preserve"> </w:t>
      </w:r>
      <w:r>
        <w:t xml:space="preserve">certified transient fallback at the few biases where the interface-switch</w:t>
      </w:r>
      <w:r>
        <w:t xml:space="preserve"> </w:t>
      </w:r>
      <w:r>
        <w:t xml:space="preserve">non-smoothness defeats a derivative-based method. Cross-validation of the</w:t>
      </w:r>
      <w:r>
        <w:t xml:space="preserve"> </w:t>
      </w:r>
      <w:r>
        <w:t xml:space="preserve">two methods on the mirror device (frozen ions in both): the steady-state</w:t>
      </w:r>
      <w:r>
        <w:t xml:space="preserve"> </w:t>
      </w:r>
      <w:r>
        <w:t xml:space="preserve">J–V matches the slow-scan transient within 5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 1 %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end-to-end, and a direct bisection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solve agrees with the</w:t>
      </w:r>
      <w:r>
        <w:t xml:space="preserve"> </w:t>
      </w:r>
      <w:r>
        <w:t xml:space="preserve">sweep interpolation within 2 mV — eliminating the voltage-grid</w:t>
      </w:r>
      <w:r>
        <w:t xml:space="preserve"> </w:t>
      </w:r>
      <w:r>
        <w:t xml:space="preserve">interpolation artefact identified in Section 2.</w:t>
      </w:r>
    </w:p>
    <w:p>
      <w:pPr>
        <w:pStyle w:val="BodyText"/>
      </w:pPr>
      <w:r>
        <w:t xml:space="preserve">The driver also settles the low-doping question definitively, in an</w:t>
      </w:r>
      <w:r>
        <w:t xml:space="preserve"> </w:t>
      </w:r>
      <w:r>
        <w:t xml:space="preserve">unexpected direction. With the solver no longer the limit, the</w:t>
      </w:r>
      <w:r>
        <w:t xml:space="preserve"> </w:t>
      </w:r>
      <w:r>
        <w:t xml:space="preserve">ETL-doping walk at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10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 </w:t>
      </w:r>
      <w:r>
        <w:t xml:space="preserve">completes — and the current</w:t>
      </w:r>
      <w:r>
        <w:t xml:space="preserve"> </w:t>
      </w:r>
      <w:r>
        <w:t xml:space="preserve">genuinely finds</w:t>
      </w:r>
      <w:r>
        <w:t xml:space="preserve"> </w:t>
      </w:r>
      <w:r>
        <w:rPr>
          <w:bCs/>
          <w:b/>
        </w:rPr>
        <w:t xml:space="preserve">no zero crossing below 1.6 V</w:t>
      </w:r>
      <w:r>
        <w:t xml:space="preserve">, in agreement with the</w:t>
      </w:r>
      <w:r>
        <w:t xml:space="preserve"> </w:t>
      </w:r>
      <w:r>
        <w:t xml:space="preserve">transient flat-band result (the model’s crossing sits near 1.29 V, above</w:t>
      </w:r>
      <w:r>
        <w:t xml:space="preserve"> </w:t>
      </w:r>
      <w:r>
        <w:t xml:space="preserve">the detailed-balance ceiling, i.e. in the degenerate regime the validity</w:t>
      </w:r>
      <w:r>
        <w:t xml:space="preserve"> </w:t>
      </w:r>
      <w:r>
        <w:t xml:space="preserve">guard excludes). Two independent solution methods agreeing on one</w:t>
      </w:r>
      <w:r>
        <w:t xml:space="preserve"> </w:t>
      </w:r>
      <w:r>
        <w:t xml:space="preserve">physics implementation means the remaining low-doping difference to</w:t>
      </w:r>
      <w:r>
        <w:t xml:space="preserve"> </w:t>
      </w:r>
      <w:r>
        <w:t xml:space="preserve">SCAPS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= 1.10 V there) is a</w:t>
      </w:r>
      <w:r>
        <w:t xml:space="preserve"> </w:t>
      </w:r>
      <w:r>
        <w:rPr>
          <w:iCs/>
          <w:i/>
        </w:rPr>
        <w:t xml:space="preserve">model-convention</w:t>
      </w:r>
      <w:r>
        <w:t xml:space="preserve"> </w:t>
      </w:r>
      <w:r>
        <w:t xml:space="preserve">difference in the</w:t>
      </w:r>
      <w:r>
        <w:t xml:space="preserve"> </w:t>
      </w:r>
      <w:r>
        <w:t xml:space="preserve">treatment of near-insulating contact layers, not a solver limitation:</w:t>
      </w:r>
      <w:r>
        <w:t xml:space="preserve"> </w:t>
      </w:r>
      <w:r>
        <w:t xml:space="preserve">the premise that a direct steady-state solve would recover SCAPS’s</w:t>
      </w:r>
      <w:r>
        <w:t xml:space="preserve"> </w:t>
      </w:r>
      <w:r>
        <w:t xml:space="preserve">low-doping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falsified by having built exactly that. The same</w:t>
      </w:r>
      <w:r>
        <w:t xml:space="preserve"> </w:t>
      </w:r>
      <w:r>
        <w:t xml:space="preserve">conclusion extends to the other open items: all remaining differences</w:t>
      </w:r>
      <w:r>
        <w:t xml:space="preserve"> </w:t>
      </w:r>
      <w:r>
        <w:t xml:space="preserve">trace to SCAPS-specific model conventions (its interface-plane carrier</w:t>
      </w:r>
      <w:r>
        <w:t xml:space="preserve"> </w:t>
      </w:r>
      <w:r>
        <w:t xml:space="preserve">states and contact treatment), which would require reproducing those</w:t>
      </w:r>
      <w:r>
        <w:t xml:space="preserve"> </w:t>
      </w:r>
      <w:r>
        <w:t xml:space="preserve">conventions explicitly rather than further numerical work.</w:t>
      </w:r>
    </w:p>
    <w:bookmarkEnd w:id="39"/>
    <w:bookmarkStart w:id="40" w:name="X472cfb840034e92593d71fb29eba13ebd6d68e8"/>
    <w:p>
      <w:pPr>
        <w:pStyle w:val="Heading2"/>
      </w:pPr>
      <w:r>
        <w:t xml:space="preserve">5.3 The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offset: Auger origin and the faithful-versus-emulation modes</w:t>
      </w:r>
    </w:p>
    <w:p>
      <w:pPr>
        <w:pStyle w:val="FirstParagraph"/>
      </w:pPr>
      <w:r>
        <w:t xml:space="preserve">The residual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 (SolarLab below SCAPS) was attributed throughout</w:t>
      </w:r>
      <w:r>
        <w:t xml:space="preserve"> </w:t>
      </w:r>
      <w:r>
        <w:t xml:space="preserve">this work to</w:t>
      </w:r>
      <w:r>
        <w:t xml:space="preserve"> </w:t>
      </w:r>
      <w:r>
        <w:rPr>
          <w:iCs/>
          <w:i/>
        </w:rPr>
        <w:t xml:space="preserve">interface recombination</w:t>
      </w:r>
      <w:r>
        <w:t xml:space="preserve">. A direct decomposition of the</w:t>
      </w:r>
      <w:r>
        <w:t xml:space="preserve"> </w:t>
      </w:r>
      <w:r>
        <w:t xml:space="preserve">recombination current at the operating point overturns that attribution: the</w:t>
      </w:r>
      <w:r>
        <w:t xml:space="preserve"> </w:t>
      </w:r>
      <w:r>
        <w:t xml:space="preserve">dominant loss is</w:t>
      </w:r>
      <w:r>
        <w:t xml:space="preserve"> </w:t>
      </w:r>
      <w:r>
        <w:rPr>
          <w:bCs/>
          <w:b/>
        </w:rPr>
        <w:t xml:space="preserve">Auger recombination</w:t>
      </w:r>
      <w:r>
        <w:t xml:space="preserve"> </w:t>
      </w:r>
      <w:r>
        <w:t xml:space="preserve">(about 105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recombination</w:t>
      </w:r>
      <w:r>
        <w:t xml:space="preserve"> </w:t>
      </w:r>
      <w:r>
        <w:t xml:space="preserve">current, versus about 26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interface channel and a negligible bulk SRH</w:t>
      </w:r>
      <w:r>
        <w:t xml:space="preserve"> </w:t>
      </w:r>
      <w:r>
        <w:t xml:space="preserve">contribution). The base offset is therefore an</w:t>
      </w:r>
      <w:r>
        <w:t xml:space="preserve"> </w:t>
      </w:r>
      <w:r>
        <w:rPr>
          <w:iCs/>
          <w:i/>
        </w:rPr>
        <w:t xml:space="preserve">absorber</w:t>
      </w:r>
      <w:r>
        <w:t xml:space="preserve"> </w:t>
      </w:r>
      <w:r>
        <w:t xml:space="preserve">effect, not an</w:t>
      </w:r>
      <w:r>
        <w:t xml:space="preserve"> </w:t>
      </w:r>
      <w:r>
        <w:t xml:space="preserve">interface effect.</w:t>
      </w:r>
    </w:p>
    <w:p>
      <w:pPr>
        <w:pStyle w:val="BodyText"/>
      </w:pPr>
      <w:r>
        <w:t xml:space="preserve">The Auger loss concentrates at the HTL/PVK heterojunction. The 0.18 eV</w:t>
      </w:r>
      <w:r>
        <w:t xml:space="preserve"> </w:t>
      </w:r>
      <w:r>
        <w:t xml:space="preserve">valence-band offset there produces a Boltzmann hole accumulation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exp(ΔE_v/kT)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at the junction; since the Auger rate scales as</w:t>
      </w:r>
      <w:r>
        <w:t xml:space="preserve"> </w:t>
      </w:r>
      <w:r>
        <w:rPr>
          <w:rStyle w:val="VerbatimChar"/>
        </w:rPr>
        <w:t xml:space="preserve">c_p · p² · n</w:t>
      </w:r>
      <w:r>
        <w:t xml:space="preserve">, that accumulation dominates the absorber’s Auger loss. Both</w:t>
      </w:r>
      <w:r>
        <w:t xml:space="preserve"> </w:t>
      </w:r>
      <w:r>
        <w:t xml:space="preserve">codes use the identical Auger coefficient and rate formula (audit-confirmed),</w:t>
      </w:r>
      <w:r>
        <w:t xml:space="preserve"> </w:t>
      </w:r>
      <w:r>
        <w:t xml:space="preserve">so the difference is the</w:t>
      </w:r>
      <w:r>
        <w:t xml:space="preserve"> </w:t>
      </w:r>
      <w:r>
        <w:rPr>
          <w:iCs/>
          <w:i/>
        </w:rPr>
        <w:t xml:space="preserve">carrier density</w:t>
      </w:r>
      <w:r>
        <w:t xml:space="preserve">: SolarLab’s effective-density-of-</w:t>
      </w:r>
      <w:r>
        <w:t xml:space="preserve"> </w:t>
      </w:r>
      <w:r>
        <w:t xml:space="preserve">states correction (</w:t>
      </w:r>
      <w:r>
        <w:rPr>
          <w:rStyle w:val="VerbatimChar"/>
        </w:rPr>
        <w:t xml:space="preserve">dos_band_potentials</w:t>
      </w:r>
      <w:r>
        <w:t xml:space="preserve">, the term that fixed the larger</w:t>
      </w:r>
      <w:r>
        <w:t xml:space="preserve"> </w:t>
      </w:r>
      <w:r>
        <w:t xml:space="preserve">quasi-Fermi-level discrepancy) raises the interface hole density that SCAPS,</w:t>
      </w:r>
      <w:r>
        <w:t xml:space="preserve"> </w:t>
      </w:r>
      <w:r>
        <w:t xml:space="preserve">lacking that correction, does not carry. SolarLab consequently models a larger —</w:t>
      </w:r>
      <w:r>
        <w:t xml:space="preserve"> </w:t>
      </w:r>
      <w:r>
        <w:t xml:space="preserve">and arguably more complete — Auger loss.</w:t>
      </w:r>
    </w:p>
    <w:p>
      <w:pPr>
        <w:pStyle w:val="BodyText"/>
      </w:pPr>
      <w:r>
        <w:t xml:space="preserve">This produces a genuine, non-removable tension between two legitimate goals: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</w:p>
        </w:tc>
        <w:tc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Most-faithful physics</w:t>
            </w:r>
            <w:r>
              <w:t xml:space="preserve"> </w:t>
            </w:r>
            <w:r>
              <w:t xml:space="preserve">(default)</w:t>
            </w:r>
          </w:p>
        </w:tc>
        <w:tc>
          <w:p>
            <w:pPr>
              <w:pStyle w:val="Compact"/>
              <w:jc w:val="left"/>
            </w:pPr>
            <w:r>
              <w:t xml:space="preserve">1.12–1.13 V</w:t>
            </w:r>
          </w:p>
        </w:tc>
        <w:tc>
          <w:p>
            <w:pPr>
              <w:pStyle w:val="Compact"/>
              <w:jc w:val="left"/>
            </w:pPr>
            <w:r>
              <w:t xml:space="preserve">effective-DOS transport + interface-plane recombination; sits at the</w:t>
            </w:r>
            <w:r>
              <w:t xml:space="preserve"> </w:t>
            </w:r>
            <w:r>
              <w:rPr>
                <w:bCs/>
                <w:b/>
              </w:rPr>
              <w:t xml:space="preserve">measured-device median</w:t>
            </w:r>
            <w:r>
              <w:t xml:space="preserve"> </w:t>
            </w:r>
            <w:r>
              <w:t xml:space="preserve">(1.05–1.13 V) for this MAPbI</w:t>
            </w:r>
            <w:r>
              <w:rPr>
                <w:vertAlign w:val="subscript"/>
              </w:rPr>
              <w:t xml:space="preserve">3</w:t>
            </w:r>
            <w:r>
              <w:t xml:space="preserve">/spiro/TiO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stack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SCAPS reproduction</w:t>
            </w:r>
            <w:r>
              <w:t xml:space="preserve"> </w:t>
            </w:r>
            <w:r>
              <w:t xml:space="preserve">(explicit flag)</w:t>
            </w:r>
          </w:p>
        </w:tc>
        <w:tc>
          <w:p>
            <w:pPr>
              <w:pStyle w:val="Compact"/>
              <w:jc w:val="left"/>
            </w:pPr>
            <w:r>
              <w:t xml:space="preserve">1.168 V</w:t>
            </w:r>
          </w:p>
        </w:tc>
        <w:tc>
          <w:p>
            <w:pPr>
              <w:pStyle w:val="Compact"/>
              <w:jc w:val="left"/>
            </w:pPr>
            <w:r>
              <w:t xml:space="preserve">reproduces SCAPS by emulating its interface-Auger convention</w:t>
            </w:r>
          </w:p>
        </w:tc>
      </w:tr>
    </w:tbl>
    <w:p>
      <w:pPr>
        <w:pStyle w:val="BodyText"/>
      </w:pPr>
      <w:r>
        <w:t xml:space="preserve">Five independent fit-free configurations all place SolarLab’s faithful base at</w:t>
      </w:r>
      <w:r>
        <w:t xml:space="preserve"> </w:t>
      </w:r>
      <w:r>
        <w:t xml:space="preserve">1.12–1.13 V; SCAPS’s 1.168 V is reachable only by an explicit emulation setting.</w:t>
      </w:r>
      <w:r>
        <w:t xml:space="preserve"> </w:t>
      </w:r>
      <w:r>
        <w:t xml:space="preserve">SCAPS’s value sits at the published champion ceiling rather than the device</w:t>
      </w:r>
      <w:r>
        <w:t xml:space="preserve"> </w:t>
      </w:r>
      <w:r>
        <w:t xml:space="preserve">median, so SolarLab’s lower base is the more device-realistic figure. We</w:t>
      </w:r>
      <w:r>
        <w:t xml:space="preserve"> </w:t>
      </w:r>
      <w:r>
        <w:t xml:space="preserve">therefore ship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modes: the faithful physics as the default, and a</w:t>
      </w:r>
      <w:r>
        <w:t xml:space="preserve"> </w:t>
      </w:r>
      <w:r>
        <w:t xml:space="preserve">flag-gated SCAPS-emulation correction (</w:t>
      </w:r>
      <w:r>
        <w:rPr>
          <w:rStyle w:val="VerbatimChar"/>
        </w:rPr>
        <w:t xml:space="preserve">het_recomb_despike</w:t>
      </w:r>
      <w:r>
        <w:t xml:space="preserve">) for partner</w:t>
      </w:r>
      <w:r>
        <w:t xml:space="preserve"> </w:t>
      </w:r>
      <w:r>
        <w:t xml:space="preserve">cross-validation, which recovers the SCAPS base to within 1 mV and, as a</w:t>
      </w:r>
      <w:r>
        <w:t xml:space="preserve"> </w:t>
      </w:r>
      <w:r>
        <w:t xml:space="preserve">by-product, tightens five trend magnitudes (CBO 80→85 %,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11→69 %,</w:t>
      </w:r>
      <w:r>
        <w:t xml:space="preserve"> </w:t>
      </w:r>
      <w:r>
        <w:t xml:space="preserve">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53→72 %).</w:t>
      </w:r>
    </w:p>
    <w:p>
      <w:pPr>
        <w:pStyle w:val="BodyText"/>
      </w:pPr>
      <w:r>
        <w:t xml:space="preserve">Two of the eleven sweeps — ETL donor doping and the HTL/PVK interface</w:t>
      </w:r>
      <w:r>
        <w:t xml:space="preserve"> </w:t>
      </w:r>
      <w:r>
        <w:t xml:space="preserve">defect density — reverse or flatten in</w:t>
      </w:r>
      <w:r>
        <w:t xml:space="preserve"> </w:t>
      </w:r>
      <w:r>
        <w:rPr>
          <w:iCs/>
          <w:i/>
        </w:rPr>
        <w:t xml:space="preserve">direction</w:t>
      </w:r>
      <w:r>
        <w:t xml:space="preserve"> </w:t>
      </w:r>
      <w:r>
        <w:t xml:space="preserve">on the fast transient path,</w:t>
      </w:r>
      <w:r>
        <w:t xml:space="preserve"> </w:t>
      </w:r>
      <w:r>
        <w:t xml:space="preserve">because that path samples interface recombination at bulk grid nodes rather</w:t>
      </w:r>
      <w:r>
        <w:t xml:space="preserve"> </w:t>
      </w:r>
      <w:r>
        <w:t xml:space="preserve">than the interface plane. Routing those sweeps through the steady-state driver</w:t>
      </w:r>
      <w:r>
        <w:t xml:space="preserve"> </w:t>
      </w:r>
      <w:r>
        <w:t xml:space="preserve">with explicit interface-plane carrier states recovers the correct direction:</w:t>
      </w:r>
      <w:r>
        <w:t xml:space="preserve"> </w:t>
      </w:r>
      <w:r>
        <w:t xml:space="preserve">the ETL-doping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 (+105 mV measured versus SCAPS’s +48,</w:t>
      </w:r>
      <w:r>
        <w:t xml:space="preserve"> </w:t>
      </w:r>
      <w:r>
        <w:t xml:space="preserve">direction matched) and the HTL/PVK interface response drops with defect density</w:t>
      </w:r>
      <w:r>
        <w:t xml:space="preserve"> </w:t>
      </w:r>
      <w:r>
        <w:t xml:space="preserve">(−29 mV versus SCAPS’s −5, direction matched). With the interface-plane states</w:t>
      </w:r>
      <w:r>
        <w:t xml:space="preserve"> </w:t>
      </w:r>
      <w:r>
        <w:t xml:space="preserve">active,</w:t>
      </w:r>
      <w:r>
        <w:t xml:space="preserve"> </w:t>
      </w:r>
      <w:r>
        <w:rPr>
          <w:bCs/>
          <w:b/>
        </w:rPr>
        <w:t xml:space="preserve">all eleven sweep directions reproduce SCAPS</w:t>
      </w:r>
      <w:r>
        <w:t xml:space="preserve">; the two recovered</w:t>
      </w:r>
      <w:r>
        <w:t xml:space="preserve"> </w:t>
      </w:r>
      <w:r>
        <w:t xml:space="preserve">sweeps then over-respond in magnitude (the interface-plane channel is</w:t>
      </w:r>
      <w:r>
        <w:t xml:space="preserve"> </w:t>
      </w:r>
      <w:r>
        <w:t xml:space="preserve">over-strong — its carrier-density calibration is the named residual, scoped to</w:t>
      </w:r>
      <w:r>
        <w:t xml:space="preserve"> </w:t>
      </w:r>
      <w:r>
        <w:t xml:space="preserve">the steady-state interface-physics 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trends</w:t>
      </w:r>
      <w:r>
        <w:t xml:space="preserve"> </w:t>
      </w:r>
      <w:r>
        <w:t xml:space="preserve">therefore reproduce faithfully — every sweep direction</w:t>
      </w:r>
      <w:r>
        <w:t xml:space="preserve"> </w:t>
      </w:r>
      <w:r>
        <w:t xml:space="preserve">matches (the two interface-doping sweeps via the interface-plane states above),</w:t>
      </w:r>
      <w:r>
        <w:t xml:space="preserve"> </w:t>
      </w:r>
      <w:r>
        <w:t xml:space="preserve">with magnitudes at 53–87 % of SCAPS; the residual magnitude gap is SCAPS’s</w:t>
      </w:r>
      <w:r>
        <w:t xml:space="preserve"> </w:t>
      </w:r>
      <w:r>
        <w:t xml:space="preserve">specific thermionic-emission /</w:t>
      </w:r>
      <w:r>
        <w:t xml:space="preserve"> </w:t>
      </w:r>
      <w:r>
        <w:t xml:space="preserve">Pauwels-Vanhoutte interface convention. Only the base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requires the</w:t>
      </w:r>
      <w:r>
        <w:t xml:space="preserve"> </w:t>
      </w:r>
      <w:r>
        <w:t xml:space="preserve">faithful-versus-emulation choice above.</w:t>
      </w:r>
    </w:p>
    <w:bookmarkEnd w:id="40"/>
    <w:bookmarkEnd w:id="41"/>
    <w:bookmarkStart w:id="42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every sweep trend reproduces in</w:t>
      </w:r>
      <w:r>
        <w:t xml:space="preserve"> </w:t>
      </w:r>
      <w:r>
        <w:t xml:space="preserve">direction, six of eleven matching SCAPS in magnitude with the remainder partial,</w:t>
      </w:r>
      <w:r>
        <w:t xml:space="preserve"> </w:t>
      </w:r>
      <w:r>
        <w:t xml:space="preserve">and the base operating point agreeing with 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the</w:t>
      </w:r>
      <w:r>
        <w:t xml:space="preserve"> </w:t>
      </w:r>
      <w:r>
        <w:t xml:space="preserve">faithful default mode (to within 1 mV in the SCAPS-emulation mode of Section</w:t>
      </w:r>
      <w:r>
        <w:t xml:space="preserve"> </w:t>
      </w:r>
      <w:r>
        <w:t xml:space="preserve">5.3). The base offset is now root-caused to absorber Auger recombination at the</w:t>
      </w:r>
      <w:r>
        <w:t xml:space="preserve"> </w:t>
      </w:r>
      <w:r>
        <w:t xml:space="preserve">HTL/PVK band offset (Section 5.3), not the interface channel as previously</w:t>
      </w:r>
      <w:r>
        <w:t xml:space="preserve"> </w:t>
      </w:r>
      <w:r>
        <w:t xml:space="preserve">believed; SolarLab’s faithful base sits at the measured-device median while</w:t>
      </w:r>
      <w:r>
        <w:t xml:space="preserve"> </w:t>
      </w:r>
      <w:r>
        <w:t xml:space="preserve">SCAPS sits at the champion ceiling, so the two are reconciled by an explicit,</w:t>
      </w:r>
      <w:r>
        <w:t xml:space="preserve"> </w:t>
      </w:r>
      <w:r>
        <w:t xml:space="preserve">flag-gated emulation rather than by degrading either model. Every physically</w:t>
      </w:r>
      <w:r>
        <w:t xml:space="preserve"> </w:t>
      </w:r>
      <w:r>
        <w:t xml:space="preserve">well-posed result 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first structural step toward closing it — the interface-plane closure of</w:t>
      </w:r>
      <w:r>
        <w:t xml:space="preserve"> </w:t>
      </w:r>
      <w:r>
        <w:t xml:space="preserve">Section 5.1 — is now in the codebase behind an explicit flag and improves the</w:t>
      </w:r>
      <w:r>
        <w:t xml:space="preserve"> </w:t>
      </w:r>
      <w:r>
        <w:t xml:space="preserve">HTL/PVK interface response from flat to 70 % of SCAPS without degrading any</w:t>
      </w:r>
      <w:r>
        <w:t xml:space="preserve"> </w:t>
      </w:r>
      <w:r>
        <w:t xml:space="preserve">matched trend. That steady-state solve has since been built (Section 5.2): the two</w:t>
      </w:r>
      <w:r>
        <w:t xml:space="preserve"> </w:t>
      </w:r>
      <w:r>
        <w:t xml:space="preserve">solution methods now cross-validate within 5 mV, the voltage-grid artefact is</w:t>
      </w:r>
      <w:r>
        <w:t xml:space="preserve"> </w:t>
      </w:r>
      <w:r>
        <w:t xml:space="preserve">eliminated, and the low-doping arm is settled as a model-convention</w:t>
      </w:r>
      <w:r>
        <w:t xml:space="preserve"> </w:t>
      </w:r>
      <w:r>
        <w:t xml:space="preserve">difference rather than a solver limitation. The remaining open items (ETL</w:t>
      </w:r>
      <w:r>
        <w:t xml:space="preserve"> </w:t>
      </w:r>
      <w:r>
        <w:t xml:space="preserve">doping arm, PVK/ETL trap-energy magnitude, residual base offset) all trace to</w:t>
      </w:r>
      <w:r>
        <w:t xml:space="preserve"> </w:t>
      </w:r>
      <w:r>
        <w:t xml:space="preserve">SCAPS-specific model conventions — reproducing them is a well-scoped, separate</w:t>
      </w:r>
      <w:r>
        <w:t xml:space="preserve"> </w:t>
      </w:r>
      <w:r>
        <w:t xml:space="preserve">undertaking should closer absolute agreement be required. The transient</w:t>
      </w:r>
      <w:r>
        <w:t xml:space="preserve"> </w:t>
      </w:r>
      <w:r>
        <w:t xml:space="preserve">ion-migration capability — which SCAPS does not offer — is unaffected</w:t>
      </w:r>
      <w:r>
        <w:t xml:space="preserve"> </w:t>
      </w:r>
      <w:r>
        <w:t xml:space="preserve">throughout.</w:t>
      </w:r>
    </w:p>
    <w:bookmarkEnd w:id="42"/>
    <w:bookmarkStart w:id="43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43"/>
    <w:bookmarkStart w:id="44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65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over-responds (less 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 Note the</w:t>
      </w:r>
      <w:r>
        <w:t xml:space="preserve"> </w:t>
      </w:r>
      <w:r>
        <w:t xml:space="preserve">bulk-N</w:t>
      </w:r>
      <w:r>
        <w:rPr>
          <w:vertAlign w:val="subscript"/>
        </w:rPr>
        <w:t xml:space="preserve">t</w:t>
      </w:r>
      <w:r>
        <w:t xml:space="preserve"> </w:t>
      </w:r>
      <w:r>
        <w:t xml:space="preserve">sweep</w:t>
      </w:r>
      <w:r>
        <w:t xml:space="preserve"> </w:t>
      </w:r>
      <w:r>
        <w:rPr>
          <w:iCs/>
          <w:i/>
        </w:rPr>
        <w:t xml:space="preserve">over</w:t>
      </w:r>
      <w:r>
        <w:t xml:space="preserve">-responds with the transport correction off (65 mV vs the</w:t>
      </w:r>
      <w:r>
        <w:t xml:space="preserve"> </w:t>
      </w:r>
      <w:r>
        <w:t xml:space="preserve">SCAPS 39/11 mV): the lower flag-off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sits further from the</w:t>
      </w:r>
      <w:r>
        <w:t xml:space="preserve"> </w:t>
      </w:r>
      <w:r>
        <w:t xml:space="preserve">interface-recombination ceiling, so the bulk traps are less masked there — the</w:t>
      </w:r>
      <w:r>
        <w:t xml:space="preserve"> </w:t>
      </w:r>
      <w:r>
        <w:t xml:space="preserve">corrected-configuration 4 mV (Table 2) is the physically consistent value.</w:t>
      </w:r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 — Transient (f = 0.53 / 0.66) vs Steady-State Interface-States Comparison</dc:title>
  <dc:creator/>
  <cp:keywords/>
  <dcterms:created xsi:type="dcterms:W3CDTF">2026-06-22T10:04:03Z</dcterms:created>
  <dcterms:modified xsi:type="dcterms:W3CDTF">2026-06-22T10:04:03Z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2026-06-22</vt:lpwstr>
  </property>
  <property fmtid="{D5CDD505-2E9C-101B-9397-08002B2CF9AE}" pid="3" name="header-includes">
    <vt:lpwstr/>
  </property>
</Properties>
</file>