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1.png" ContentType="image/png"/>
  <Override PartName="/word/media/rId33.png" ContentType="image/png"/>
  <Override PartName="/word/media/rId26.png" ContentType="image/png"/>
  <Override PartName="/word/media/rId32.png" ContentType="image/png"/>
  <Override PartName="/word/media/rId28.png" ContentType="image/png"/>
  <Override PartName="/word/media/rId34.png" ContentType="image/png"/>
  <Override PartName="/word/media/rId29.png" ContentType="image/png"/>
  <Override PartName="/word/media/rId27.png" ContentType="image/png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(2026-06-11) supersedes the 2026-05-29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5" w:name="sweep-by-sweep-comparison"/>
    <w:p>
      <w:pPr>
        <w:pStyle w:val="Heading1"/>
      </w:pPr>
      <w:r>
        <w:t xml:space="preserve">4. Sweep-by-sweep comparison</w:t>
      </w:r>
    </w:p>
    <w:p>
      <w:pPr>
        <w:pStyle w:val="FirstParagraph"/>
      </w:pPr>
      <w:r>
        <w:t xml:space="preserve">The eleven sweeps are shown as overlays of SolarLab (solid blue) against SCAPS</w:t>
      </w:r>
      <w:r>
        <w:t xml:space="preserve"> </w:t>
      </w:r>
      <w:r>
        <w:t xml:space="preserve">(dashed red), four figures of merit per panel, all in the corrected</w:t>
      </w:r>
      <w:r>
        <w:t xml:space="preserve"> </w:t>
      </w:r>
      <w:r>
        <w:t xml:space="preserve">configuration. Grouped by outcome:</w:t>
      </w:r>
    </w:p>
    <w:p>
      <w:pPr>
        <w:pStyle w:val="BodyText"/>
      </w:pPr>
      <w:r>
        <w:rPr>
          <w:bCs/>
          <w:b/>
        </w:rPr>
        <w:t xml:space="preserve">Matched (six).</w:t>
      </w:r>
      <w:r>
        <w:t xml:space="preserve"> </w:t>
      </w:r>
      <w:r>
        <w:t xml:space="preserve">The ETL/PVK conduction-band-offset sweep (Figure 1)</w:t>
      </w:r>
      <w:r>
        <w:t xml:space="preserve"> </w:t>
      </w:r>
      <w:r>
        <w:t xml:space="preserve">reproduces the SCAPS recombination cliff and recovery with 80 % of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(734 of 918 mV). The PVK donor-doping sweep (Figure 11) — a</w:t>
      </w:r>
      <w:r>
        <w:t xml:space="preserve"> </w:t>
      </w:r>
      <w:r>
        <w:t xml:space="preserve">direction mismatch in the previous revision — now matches SCAPS in both</w:t>
      </w:r>
      <w:r>
        <w:t xml:space="preserve"> </w:t>
      </w:r>
      <w:r>
        <w:t xml:space="preserve">direction and magnitude (39 vs 34 mV, including the fill-factor and efficiency</w:t>
      </w:r>
      <w:r>
        <w:t xml:space="preserve"> </w:t>
      </w:r>
      <w:r>
        <w:t xml:space="preserve">collapse at the degenerate 10</w:t>
      </w:r>
      <w:r>
        <w:rPr>
          <w:vertAlign w:val="superscript"/>
        </w:rPr>
        <w:t xml:space="preserve">18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point). The HTL/PVK interface</w:t>
      </w:r>
      <w:r>
        <w:t xml:space="preserve"> </w:t>
      </w:r>
      <w:r>
        <w:t xml:space="preserve">defect-density sweep (Figure 4) is near-flat in both solvers (0 vs 5 mV), and</w:t>
      </w:r>
      <w:r>
        <w:t xml:space="preserve"> </w:t>
      </w:r>
      <w:r>
        <w:t xml:space="preserve">the three defect-level sweeps that SCAPS holds flat — perovskite CB, perovskite</w:t>
      </w:r>
      <w:r>
        <w:t xml:space="preserve"> </w:t>
      </w:r>
      <w:r>
        <w:t xml:space="preserve">VB, and HTL/PVK (Figures 8–10) — are flat in SolarLab as well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0.3 mV both).</w:t>
      </w:r>
    </w:p>
    <w:p>
      <w:pPr>
        <w:pStyle w:val="BodyText"/>
      </w:pPr>
      <w:r>
        <w:rPr>
          <w:bCs/>
          <w:b/>
        </w:rPr>
        <w:t xml:space="preserve">Partial (two).</w:t>
      </w:r>
      <w:r>
        <w:t xml:space="preserve"> </w:t>
      </w:r>
      <w:r>
        <w:t xml:space="preserve">The PVK/ETL interface defect-density sweep (Figure 2) matches</w:t>
      </w:r>
      <w:r>
        <w:t xml:space="preserve"> </w:t>
      </w:r>
      <w:r>
        <w:t xml:space="preserve">in direction and saturating shape with 53 % of the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(149 of</w:t>
      </w:r>
      <w:r>
        <w:t xml:space="preserve"> </w:t>
      </w:r>
      <w:r>
        <w:t xml:space="preserve">282 mV; 72 % with the transport correction off — see Section 5 for why the</w:t>
      </w:r>
      <w:r>
        <w:t xml:space="preserve"> </w:t>
      </w:r>
      <w:r>
        <w:t xml:space="preserve">correction trades interface-sweep closure for base-point accuracy). The</w:t>
      </w:r>
      <w:r>
        <w:t xml:space="preserve"> </w:t>
      </w:r>
      <w:r>
        <w:t xml:space="preserve">perovskite-VB bulk defect-density sweep (Figure 7) now matches SCAPS in</w:t>
      </w:r>
      <w:r>
        <w:t xml:space="preserve"> </w:t>
      </w:r>
      <w:r>
        <w:t xml:space="preserve">direction with 41 % of its range (4.4 of 10.8 mV) after the sweep-wiring fix</w:t>
      </w:r>
      <w:r>
        <w:t xml:space="preserve"> </w:t>
      </w:r>
      <w:r>
        <w:t xml:space="preserve">of Section 5.</w:t>
      </w:r>
    </w:p>
    <w:p>
      <w:pPr>
        <w:pStyle w:val="BodyText"/>
      </w:pPr>
      <w:r>
        <w:rPr>
          <w:bCs/>
          <w:b/>
        </w:rPr>
        <w:t xml:space="preserve">Open (three).</w:t>
      </w:r>
      <w:r>
        <w:t xml:space="preserve"> </w:t>
      </w:r>
      <w:r>
        <w:t xml:space="preserve">The ETL donor-doping sweep (Figure 5): the two degenerate</w:t>
      </w:r>
      <w:r>
        <w:t xml:space="preserve"> </w:t>
      </w:r>
      <w:r>
        <w:t xml:space="preserve">low-doping points are excluded by the validity guard, and on the well-posed arm</w:t>
      </w:r>
      <w:r>
        <w:t xml:space="preserve"> </w:t>
      </w:r>
      <w:r>
        <w:t xml:space="preserve">(10</w:t>
      </w:r>
      <w:r>
        <w:rPr>
          <w:vertAlign w:val="superscript"/>
        </w:rPr>
        <w:t xml:space="preserve">14</w:t>
      </w:r>
      <w:r>
        <w:t xml:space="preserve">–10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) SolarLab is essentially flat (11 mV) where SCAPS rises by</w:t>
      </w:r>
      <w:r>
        <w:t xml:space="preserve"> </w:t>
      </w:r>
      <w:r>
        <w:t xml:space="preserve">100 mV — the direction is within noise of flat, so the trend is counted open</w:t>
      </w:r>
      <w:r>
        <w:t xml:space="preserve"> </w:t>
      </w:r>
      <w:r>
        <w:t xml:space="preserve">rather than matched. The PVK/ETL interface defect-level sweep (Figure 3)</w:t>
      </w:r>
      <w:r>
        <w:t xml:space="preserve"> </w:t>
      </w:r>
      <w:r>
        <w:t xml:space="preserve">responds only weakly (2 of 35 mV). The perovskite-CB bulk defect-density sweep</w:t>
      </w:r>
      <w:r>
        <w:t xml:space="preserve"> </w:t>
      </w:r>
      <w:r>
        <w:t xml:space="preserve">(Figure 6) now responds in the correct direction but covers only 11 % of the</w:t>
      </w:r>
      <w:r>
        <w:t xml:space="preserve"> </w:t>
      </w:r>
      <w:r>
        <w:t xml:space="preserve">SCAPS range (4.3 of 38.6 mV). All three open items share one mechanism</w:t>
      </w:r>
      <w:r>
        <w:t xml:space="preserve"> </w:t>
      </w:r>
      <w:r>
        <w:t xml:space="preserve">(Section 5).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/PVK conduction-band offset (ΔEC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(ΔE</w:t>
      </w:r>
      <w:r>
        <w:rPr>
          <w:vertAlign w:val="subscript"/>
        </w:rPr>
        <w:t xml:space="preserve">C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 donor doping (ND). Grey open markers: degenerate points excluded by the detailed-balance-ceiling guard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Grey open markers: degenerate points excluded by the</w:t>
      </w:r>
      <w:r>
        <w:t xml:space="preserve"> </w:t>
      </w:r>
      <w:r>
        <w:t xml:space="preserve">detailed-balance-ceiling guard.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(80 %)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match (near-flat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PVK-CB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PVK-VB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partial (53 %)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PVK-VB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4.4 mV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partial (41 %)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4.3 mV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open (direction match, 11 %)</w:t>
            </w:r>
          </w:p>
        </w:tc>
      </w:tr>
    </w:tbl>
    <w:p>
      <w:pPr>
        <w:pStyle w:val="BodyText"/>
      </w:pPr>
      <w:r>
        <w:t xml:space="preserve">Table 2. Per-sweep scorecard, corrected configuration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ranges over the</w:t>
      </w:r>
      <w:r>
        <w:t xml:space="preserve"> </w:t>
      </w:r>
      <w:r>
        <w:t xml:space="preserve">physically well-posed points).</w:t>
      </w:r>
    </w:p>
    <w:bookmarkEnd w:id="35"/>
    <w:bookmarkStart w:id="39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partner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6" w:name="X3aa82850fded9386ab9dc49f890653e3e89abad"/>
    <w:p>
      <w:pPr>
        <w:pStyle w:val="Heading2"/>
      </w:pPr>
      <w:r>
        <w:t xml:space="preserve">5.x Update: interface-plane closure (2026-06-12)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6"/>
    <w:bookmarkStart w:id="37" w:name="Xd5e3842e0f9d57e66a2ef16c86f591e0c224622"/>
    <w:p>
      <w:pPr>
        <w:pStyle w:val="Heading2"/>
      </w:pPr>
      <w:r>
        <w:t xml:space="preserve">5.y Update: direct steady-state driver (2026-06-12)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 </w:t>
      </w:r>
      <w:r>
        <w:t xml:space="preserve">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7"/>
    <w:bookmarkStart w:id="38" w:name="X7a615725524da910d3ec6913c3140bbd1c9963c"/>
    <w:p>
      <w:pPr>
        <w:pStyle w:val="Heading2"/>
      </w:pPr>
      <w:r>
        <w:t xml:space="preserve">5.z Update: the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absolute — root cause and the faithful-vs-emulation choice (2026-06-13)</w:t>
      </w:r>
    </w:p>
    <w:p>
      <w:pPr>
        <w:pStyle w:val="FirstParagraph"/>
      </w:pPr>
      <w:r>
        <w:t xml:space="preserve">The residual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 (SolarLab below SCAPS) was attributed throughout</w:t>
      </w:r>
      <w:r>
        <w:t xml:space="preserve"> </w:t>
      </w:r>
      <w:r>
        <w:t xml:space="preserve">this work to</w:t>
      </w:r>
      <w:r>
        <w:t xml:space="preserve"> </w:t>
      </w:r>
      <w:r>
        <w:rPr>
          <w:iCs/>
          <w:i/>
        </w:rPr>
        <w:t xml:space="preserve">interface recombination</w:t>
      </w:r>
      <w:r>
        <w:t xml:space="preserve">. A direct decomposition of the</w:t>
      </w:r>
      <w:r>
        <w:t xml:space="preserve"> </w:t>
      </w:r>
      <w:r>
        <w:t xml:space="preserve">recombination current at the operating point overturns that attribution: the</w:t>
      </w:r>
      <w:r>
        <w:t xml:space="preserve"> </w:t>
      </w:r>
      <w:r>
        <w:t xml:space="preserve">dominant loss is</w:t>
      </w:r>
      <w:r>
        <w:t xml:space="preserve"> </w:t>
      </w:r>
      <w:r>
        <w:rPr>
          <w:bCs/>
          <w:b/>
        </w:rPr>
        <w:t xml:space="preserve">Auger recombination</w:t>
      </w:r>
      <w:r>
        <w:t xml:space="preserve"> </w:t>
      </w:r>
      <w:r>
        <w:t xml:space="preserve">(about 105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recombination</w:t>
      </w:r>
      <w:r>
        <w:t xml:space="preserve"> </w:t>
      </w:r>
      <w:r>
        <w:t xml:space="preserve">current, versus about 26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interface channel and a negligible bulk SRH</w:t>
      </w:r>
      <w:r>
        <w:t xml:space="preserve"> </w:t>
      </w:r>
      <w:r>
        <w:t xml:space="preserve">contribution). The base offset is therefore an</w:t>
      </w:r>
      <w:r>
        <w:t xml:space="preserve"> </w:t>
      </w:r>
      <w:r>
        <w:rPr>
          <w:iCs/>
          <w:i/>
        </w:rPr>
        <w:t xml:space="preserve">absorber</w:t>
      </w:r>
      <w:r>
        <w:t xml:space="preserve"> </w:t>
      </w:r>
      <w:r>
        <w:t xml:space="preserve">effect, not an</w:t>
      </w:r>
      <w:r>
        <w:t xml:space="preserve"> </w:t>
      </w:r>
      <w:r>
        <w:t xml:space="preserve">interface effect.</w:t>
      </w:r>
    </w:p>
    <w:p>
      <w:pPr>
        <w:pStyle w:val="BodyText"/>
      </w:pPr>
      <w:r>
        <w:t xml:space="preserve">The Auger loss concentrates at the HTL/PVK heterojunction. The 0.18 eV</w:t>
      </w:r>
      <w:r>
        <w:t xml:space="preserve"> </w:t>
      </w:r>
      <w:r>
        <w:t xml:space="preserve">valence-band offset there produces a Boltzmann hole accumulation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exp(ΔE_v/kT)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at the junction; since the Auger rate scales as</w:t>
      </w:r>
      <w:r>
        <w:t xml:space="preserve"> </w:t>
      </w:r>
      <w:r>
        <w:rPr>
          <w:rStyle w:val="VerbatimChar"/>
        </w:rPr>
        <w:t xml:space="preserve">c_p · p² · n</w:t>
      </w:r>
      <w:r>
        <w:t xml:space="preserve">, that accumulation dominates the absorber’s Auger loss. Both</w:t>
      </w:r>
      <w:r>
        <w:t xml:space="preserve"> </w:t>
      </w:r>
      <w:r>
        <w:t xml:space="preserve">codes use the identical Auger coefficient and rate formula (audit-confirmed),</w:t>
      </w:r>
      <w:r>
        <w:t xml:space="preserve"> </w:t>
      </w:r>
      <w:r>
        <w:t xml:space="preserve">so the difference is the</w:t>
      </w:r>
      <w:r>
        <w:t xml:space="preserve"> </w:t>
      </w:r>
      <w:r>
        <w:rPr>
          <w:iCs/>
          <w:i/>
        </w:rPr>
        <w:t xml:space="preserve">carrier density</w:t>
      </w:r>
      <w:r>
        <w:t xml:space="preserve">: SolarLab’s effective-density-of-</w:t>
      </w:r>
      <w:r>
        <w:t xml:space="preserve"> </w:t>
      </w:r>
      <w:r>
        <w:t xml:space="preserve">states correction (</w:t>
      </w:r>
      <w:r>
        <w:rPr>
          <w:rStyle w:val="VerbatimChar"/>
        </w:rPr>
        <w:t xml:space="preserve">dos_band_potentials</w:t>
      </w:r>
      <w:r>
        <w:t xml:space="preserve">, the term that fixed the larger</w:t>
      </w:r>
      <w:r>
        <w:t xml:space="preserve"> </w:t>
      </w:r>
      <w:r>
        <w:t xml:space="preserve">quasi-Fermi-level discrepancy) raises the interface hole density that SCAPS,</w:t>
      </w:r>
      <w:r>
        <w:t xml:space="preserve"> </w:t>
      </w:r>
      <w:r>
        <w:t xml:space="preserve">lacking that correction, does not carry. SolarLab consequently models a larger —</w:t>
      </w:r>
      <w:r>
        <w:t xml:space="preserve"> </w:t>
      </w:r>
      <w:r>
        <w:t xml:space="preserve">and arguably more complete — Auger loss.</w:t>
      </w:r>
    </w:p>
    <w:p>
      <w:pPr>
        <w:pStyle w:val="BodyText"/>
      </w:pPr>
      <w:r>
        <w:t xml:space="preserve">This produces a genuine, non-removable tension between two legitimate goals: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</w:p>
        </w:tc>
        <w:tc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Most-faithful physics</w:t>
            </w:r>
            <w:r>
              <w:t xml:space="preserve"> </w:t>
            </w:r>
            <w:r>
              <w:t xml:space="preserve">(default)</w:t>
            </w:r>
          </w:p>
        </w:tc>
        <w:tc>
          <w:p>
            <w:pPr>
              <w:pStyle w:val="Compact"/>
              <w:jc w:val="left"/>
            </w:pPr>
            <w:r>
              <w:t xml:space="preserve">1.12–1.13 V</w:t>
            </w:r>
          </w:p>
        </w:tc>
        <w:tc>
          <w:p>
            <w:pPr>
              <w:pStyle w:val="Compact"/>
              <w:jc w:val="left"/>
            </w:pPr>
            <w:r>
              <w:t xml:space="preserve">effective-DOS transport + interface-plane recombination; sits at the</w:t>
            </w:r>
            <w:r>
              <w:t xml:space="preserve"> </w:t>
            </w:r>
            <w:r>
              <w:rPr>
                <w:bCs/>
                <w:b/>
              </w:rPr>
              <w:t xml:space="preserve">measured-device median</w:t>
            </w:r>
            <w:r>
              <w:t xml:space="preserve"> </w:t>
            </w:r>
            <w:r>
              <w:t xml:space="preserve">(1.05–1.13 V) for this MAPbI</w:t>
            </w:r>
            <w:r>
              <w:rPr>
                <w:vertAlign w:val="subscript"/>
              </w:rPr>
              <w:t xml:space="preserve">3</w:t>
            </w:r>
            <w:r>
              <w:t xml:space="preserve">/spiro/TiO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SCAPS reproduction</w:t>
            </w:r>
            <w:r>
              <w:t xml:space="preserve"> </w:t>
            </w:r>
            <w:r>
              <w:t xml:space="preserve">(explicit flag)</w:t>
            </w:r>
          </w:p>
        </w:tc>
        <w:tc>
          <w:p>
            <w:pPr>
              <w:pStyle w:val="Compact"/>
              <w:jc w:val="left"/>
            </w:pPr>
            <w:r>
              <w:t xml:space="preserve">1.168 V</w:t>
            </w:r>
          </w:p>
        </w:tc>
        <w:tc>
          <w:p>
            <w:pPr>
              <w:pStyle w:val="Compact"/>
              <w:jc w:val="left"/>
            </w:pPr>
            <w:r>
              <w:t xml:space="preserve">reproduces SCAPS by emulating its interface-Auger convention</w:t>
            </w:r>
          </w:p>
        </w:tc>
      </w:tr>
    </w:tbl>
    <w:p>
      <w:pPr>
        <w:pStyle w:val="BodyText"/>
      </w:pPr>
      <w:r>
        <w:t xml:space="preserve">Five independent fit-free configurations all place SolarLab’s faithful base at</w:t>
      </w:r>
      <w:r>
        <w:t xml:space="preserve"> </w:t>
      </w:r>
      <w:r>
        <w:t xml:space="preserve">1.12–1.13 V; SCAPS’s 1.168 V is reachable only by an explicit emulation setting.</w:t>
      </w:r>
      <w:r>
        <w:t xml:space="preserve"> </w:t>
      </w:r>
      <w:r>
        <w:t xml:space="preserve">SCAPS’s value sits at the published champion ceiling rather than the device</w:t>
      </w:r>
      <w:r>
        <w:t xml:space="preserve"> </w:t>
      </w:r>
      <w:r>
        <w:t xml:space="preserve">median, so SolarLab’s lower base is the more device-realistic figure. We</w:t>
      </w:r>
      <w:r>
        <w:t xml:space="preserve"> </w:t>
      </w:r>
      <w:r>
        <w:t xml:space="preserve">therefore ship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modes: the faithful physics as the default, and a</w:t>
      </w:r>
      <w:r>
        <w:t xml:space="preserve"> </w:t>
      </w:r>
      <w:r>
        <w:t xml:space="preserve">flag-gated SCAPS-emulation correction (</w:t>
      </w:r>
      <w:r>
        <w:rPr>
          <w:rStyle w:val="VerbatimChar"/>
        </w:rPr>
        <w:t xml:space="preserve">het_recomb_despike</w:t>
      </w:r>
      <w:r>
        <w:t xml:space="preserve">) for partner</w:t>
      </w:r>
      <w:r>
        <w:t xml:space="preserve"> </w:t>
      </w:r>
      <w:r>
        <w:t xml:space="preserve">cross-validation, which recovers the SCAPS base to within 1 mV and, as a</w:t>
      </w:r>
      <w:r>
        <w:t xml:space="preserve"> </w:t>
      </w:r>
      <w:r>
        <w:t xml:space="preserve">by-product, tightens five trend magnitudes (CBO 80→85 %,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11→69 %,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53→72 %).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trends</w:t>
      </w:r>
      <w:r>
        <w:t xml:space="preserve"> </w:t>
      </w:r>
      <w:r>
        <w:t xml:space="preserve">reproduce faithfully in both modes — every sweep direction</w:t>
      </w:r>
      <w:r>
        <w:t xml:space="preserve"> </w:t>
      </w:r>
      <w:r>
        <w:t xml:space="preserve">matches, with magnitudes at 53–87 % of SCAPS through the interface-plane</w:t>
      </w:r>
      <w:r>
        <w:t xml:space="preserve"> </w:t>
      </w:r>
      <w:r>
        <w:t xml:space="preserve">sampling; the residual magnitude gap is SCAPS’s specific thermionic-emission /</w:t>
      </w:r>
      <w:r>
        <w:t xml:space="preserve"> </w:t>
      </w:r>
      <w:r>
        <w:t xml:space="preserve">Pauwels-Vanhoutte interface convention. Only the base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requires the</w:t>
      </w:r>
      <w:r>
        <w:t xml:space="preserve"> </w:t>
      </w:r>
      <w:r>
        <w:t xml:space="preserve">faithful-versus-emulation choice above.</w:t>
      </w:r>
    </w:p>
    <w:bookmarkEnd w:id="38"/>
    <w:bookmarkEnd w:id="39"/>
    <w:bookmarkStart w:id="40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every sweep trend reproduces in</w:t>
      </w:r>
      <w:r>
        <w:t xml:space="preserve"> </w:t>
      </w:r>
      <w:r>
        <w:t xml:space="preserve">direction, six of eleven matching SCAPS in magnitude with the remainder partial,</w:t>
      </w:r>
      <w:r>
        <w:t xml:space="preserve"> </w:t>
      </w:r>
      <w:r>
        <w:t xml:space="preserve">and the base operating point agreeing with 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the</w:t>
      </w:r>
      <w:r>
        <w:t xml:space="preserve"> </w:t>
      </w:r>
      <w:r>
        <w:t xml:space="preserve">faithful default mode (to within 1 mV in the SCAPS-emulation mode of Section</w:t>
      </w:r>
      <w:r>
        <w:t xml:space="preserve"> </w:t>
      </w:r>
      <w:r>
        <w:t xml:space="preserve">5.z). The base offset is now root-caused to absorber Auger recombination at the</w:t>
      </w:r>
      <w:r>
        <w:t xml:space="preserve"> </w:t>
      </w:r>
      <w:r>
        <w:t xml:space="preserve">HTL/PVK band offset (Section 5.z), not the interface channel as previously</w:t>
      </w:r>
      <w:r>
        <w:t xml:space="preserve"> </w:t>
      </w:r>
      <w:r>
        <w:t xml:space="preserve">believed; SolarLab’s faithful base sits at the measured-device median while</w:t>
      </w:r>
      <w:r>
        <w:t xml:space="preserve"> </w:t>
      </w:r>
      <w:r>
        <w:t xml:space="preserve">SCAPS sits at the champion ceiling, so the two are reconciled by an explicit,</w:t>
      </w:r>
      <w:r>
        <w:t xml:space="preserve"> </w:t>
      </w:r>
      <w:r>
        <w:t xml:space="preserve">flag-gated emulation rather than by degrading either model. Every physically</w:t>
      </w:r>
      <w:r>
        <w:t xml:space="preserve"> </w:t>
      </w:r>
      <w:r>
        <w:t xml:space="preserve">well-posed result 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5.x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5.y):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40"/>
    <w:bookmarkStart w:id="41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1"/>
    <w:bookmarkStart w:id="42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7" Target="media/rId27.png" /><Relationship Type="http://schemas.openxmlformats.org/officeDocument/2006/relationships/image" Id="rId25" Target="media/rId25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</dc:title>
  <dc:creator/>
  <cp:keywords/>
  <dcterms:created xsi:type="dcterms:W3CDTF">2026-06-13T09:14:20Z</dcterms:created>
  <dcterms:modified xsi:type="dcterms:W3CDTF">2026-06-13T09:14:20Z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