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2026-07-02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2026-07-02 revision — transient contact-reservoir fix + extended CBO sweep.</w:t>
      </w:r>
      <w:r>
        <w:t xml:space="preserve"> </w:t>
      </w:r>
      <w:r>
        <w:t xml:space="preserve">Two updates since 2026-06-22.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The ETL-donor-doping direction — previously</w:t>
      </w:r>
      <w:r>
        <w:t xml:space="preserve"> </w:t>
      </w:r>
      <w:r>
        <w:t xml:space="preserve">the one trend no de-spike fraction could fix (Section 4.1) — is now recovered on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t xml:space="preserve">path by a work-function contact-reservoir floor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flat_band_metal_contacts</w:t>
      </w:r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0.42 eV; shipped on</w:t>
      </w:r>
      <w:r>
        <w:t xml:space="preserve"> </w:t>
      </w:r>
      <w:r>
        <w:rPr>
          <w:rStyle w:val="VerbatimChar"/>
        </w:rPr>
        <w:t xml:space="preserve">scaps_mirror_v2</w:t>
      </w:r>
      <w:r>
        <w:t xml:space="preserve">):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brackets all eleven doping points and rises with doping, RMS 39 mV vs SCAPS.</w:t>
      </w:r>
      <w:r>
        <w:t xml:space="preserve"> </w:t>
      </w:r>
      <w:r>
        <w:t xml:space="preserve">The root cause was the contact carrier reservoir tied to the semiconductor doping,</w:t>
      </w:r>
      <w:r>
        <w:t xml:space="preserve"> </w:t>
      </w:r>
      <w:r>
        <w:t xml:space="preserve">which starves the near-insulating low-N</w:t>
      </w:r>
      <w:r>
        <w:rPr>
          <w:vertAlign w:val="subscript"/>
        </w:rPr>
        <w:t xml:space="preserve">D</w:t>
      </w:r>
      <w:r>
        <w:t xml:space="preserve"> </w:t>
      </w:r>
      <w:r>
        <w:t xml:space="preserve">cathode; the floor supplies the metal</w:t>
      </w:r>
      <w:r>
        <w:t xml:space="preserve"> </w:t>
      </w:r>
      <w:r>
        <w:t xml:space="preserve">work-function density instead and is dormant at normal doping (bit-identical</w:t>
      </w:r>
      <w:r>
        <w:t xml:space="preserve"> </w:t>
      </w:r>
      <w:r>
        <w:t xml:space="preserve">elsewhere). This</w:t>
      </w:r>
      <w:r>
        <w:t xml:space="preserve"> </w:t>
      </w:r>
      <w:r>
        <w:rPr>
          <w:bCs/>
          <w:b/>
        </w:rPr>
        <w:t xml:space="preserve">supersedes</w:t>
      </w:r>
      <w:r>
        <w:t xml:space="preserve"> </w:t>
      </w:r>
      <w:r>
        <w:t xml:space="preserve">the earlier</w:t>
      </w:r>
      <w:r>
        <w:t xml:space="preserve"> </w:t>
      </w:r>
      <w:r>
        <w:t xml:space="preserve">“</w:t>
      </w:r>
      <w:r>
        <w:t xml:space="preserve">structural, needs the</w:t>
      </w:r>
      <w:r>
        <w:t xml:space="preserve"> </w:t>
      </w:r>
      <w:r>
        <w:t xml:space="preserve">interface-plane-states driver</w:t>
      </w:r>
      <w:r>
        <w:t xml:space="preserve">”</w:t>
      </w:r>
      <w:r>
        <w:t xml:space="preserve"> </w:t>
      </w:r>
      <w:r>
        <w:t xml:space="preserve">verdict</w:t>
      </w:r>
      <w:r>
        <w:t xml:space="preserve"> </w:t>
      </w:r>
      <w:r>
        <w:rPr>
          <w:iCs/>
          <w:i/>
        </w:rPr>
        <w:t xml:space="preserve">for direction and physicality</w:t>
      </w:r>
      <w:r>
        <w:t xml:space="preserve"> </w:t>
      </w:r>
      <w:r>
        <w:t xml:space="preserve">(the</w:t>
      </w:r>
      <w:r>
        <w:t xml:space="preserve"> </w:t>
      </w:r>
      <w:r>
        <w:t xml:space="preserve">Nd_ETL figure and Section 4.1 note are updated).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The ETL/PVK CBO sweep</w:t>
      </w:r>
      <w:r>
        <w:t xml:space="preserve"> </w:t>
      </w:r>
      <w:r>
        <w:t xml:space="preserve">(Section 4) is extended to</w:t>
      </w:r>
      <w:r>
        <w:t xml:space="preserve"> 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= +1.0 eV: the transient reproduces the</w:t>
      </w:r>
      <w:r>
        <w:t xml:space="preserve"> </w:t>
      </w:r>
      <w:r>
        <w:t xml:space="preserve">positive-spike</w:t>
      </w:r>
      <w:r>
        <w:t xml:space="preserve"> </w:t>
      </w:r>
      <w:r>
        <w:rPr>
          <w:bCs/>
          <w:b/>
        </w:rPr>
        <w:t xml:space="preserve">cell death</w:t>
      </w:r>
      <w:r>
        <w:t xml:space="preserve"> </w:t>
      </w:r>
      <w:r>
        <w:t xml:space="preserve">—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 collapse at</w:t>
      </w:r>
      <w:r>
        <w:t xml:space="preserve"> 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</m:oMath>
      <w:r>
        <w:t xml:space="preserve"> </w:t>
      </w:r>
      <w:r>
        <w:t xml:space="preserve">+0.7 eV (vs SCAPS +0.5) while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stays flat, and the device goes dead</w:t>
      </w:r>
      <w:r>
        <w:t xml:space="preserve"> </w:t>
      </w:r>
      <w:r>
        <w:t xml:space="preserve">(J</w:t>
      </w:r>
      <w:r>
        <w:rPr>
          <w:vertAlign w:val="subscript"/>
        </w:rPr>
        <w:t xml:space="preserve">sc</w:t>
      </w:r>
      <w:r>
        <w:t xml:space="preserve"> </w:t>
      </w:r>
      <w:r>
        <w:t xml:space="preserve">→ 0) beyond — confirming the spike blocks electron</w:t>
      </w:r>
      <w:r>
        <w:t xml:space="preserve"> </w:t>
      </w:r>
      <w:r>
        <w:rPr>
          <w:iCs/>
          <w:i/>
        </w:rPr>
        <w:t xml:space="preserve">collection</w:t>
      </w:r>
      <w:r>
        <w:t xml:space="preserve">, not the</w:t>
      </w:r>
      <w:r>
        <w:t xml:space="preserve"> </w:t>
      </w:r>
      <w:r>
        <w:t xml:space="preserve">open-circuit voltage. All other results are unchanged from the 2026-06-22 revision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fixing the Nd_ETL direction (flat → rising) with all interface directions matched; the residual sweep-</w:t>
      </w:r>
      <w:r>
        <w:rPr>
          <w:iCs/>
          <w:i/>
        </w:rPr>
        <w:t xml:space="preserve">magnitude</w:t>
      </w:r>
      <w:r>
        <w:t xml:space="preserve"> </w:t>
      </w:r>
      <w:r>
        <w:t xml:space="preserve">errors (the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window-sensitive — 52 % closure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1e13–1e18 vs 189 % over the wider SCAPS window, i.e. not pinned —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63 %) are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per-interface scalar is a rate knob that sets absolutes / base, not sweep amplitudes, so closing them needs a change to the interface-state response model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reference’s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reference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reference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reference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(reference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t xml:space="preserve">2</w:t>
            </w:r>
            <w:r>
              <w:t xml:space="preserve">^)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reference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t xml:space="preserve">2</w:t>
            </w:r>
            <w:r>
              <w:t xml:space="preserve">^)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\Delta E_C). Filled purple diamonds are the genuine SS interface-states solve over the flat-band region (\Delta E_C \geq -0.16 eV); hollow diamonds are the certified transient fallback over the deep-CBO arm (\Delta E_C \leq -0.2 eV), where the collapsed junction is unreachable by the SS Newton. The SS curve sits on the transient throughout — CBO is a band-offset effect, so SS \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). Filled purple diamonds are the genuine SS interface-states solve over the flat-band region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r>
          <m:t>0.16</m:t>
        </m:r>
      </m:oMath>
      <w:r>
        <w:t xml:space="preserve"> </w:t>
      </w:r>
      <w:r>
        <w:t xml:space="preserve">eV); hollow diamonds are the certified transient fallback over the deep-CBO arm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eV), where the collapsed junction is unreachable by the SS Newton. The SS curve sits on the transient throughout — CBO is a band-offset effect, so 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Updated 2026-07-02: with the work-function contact-reservoir floor (flat_band_metal_contacts, \phi_B = 0.42 eV) the transient curves now bracket the full doping range and rise with doping at low ND — the contact starvation that previously left the three lowest points unbracketed / on an unphysical &gt;Eg branch is fixed (RMS 39 mV vs SCAPS at f = 0.53); a shallow mid-doping de-spike residual (the ~1013–1016 dip) remains. The SS interface-states Voc also rises with doping. All three SolarLab configurations now match the SCAPS rising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</w:t>
      </w:r>
      <w:r>
        <w:t xml:space="preserve"> </w:t>
      </w:r>
      <w:r>
        <w:rPr>
          <w:iCs/>
          <w:i/>
        </w:rPr>
        <w:t xml:space="preserve">Updated 2026-07-02:</w:t>
      </w:r>
      <w:r>
        <w:t xml:space="preserve"> </w:t>
      </w:r>
      <w:r>
        <w:t xml:space="preserve">with the work-function contact-reservoir floor (</w:t>
      </w:r>
      <w:r>
        <w:rPr>
          <w:rStyle w:val="VerbatimChar"/>
        </w:rPr>
        <w:t xml:space="preserve">flat_band_metal_contacts</w:t>
      </w:r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0.42 eV) the transient curves now bracket the full doping range and rise with doping at low N</w:t>
      </w:r>
      <w:r>
        <w:rPr>
          <w:vertAlign w:val="subscript"/>
        </w:rPr>
        <w:t xml:space="preserve">D</w:t>
      </w:r>
      <w:r>
        <w:t xml:space="preserve"> </w:t>
      </w:r>
      <w:r>
        <w:t xml:space="preserve">— the contact starvation that previously left the three lowest points unbracketed / on an unphysical &gt;E</w:t>
      </w:r>
      <w:r>
        <w:rPr>
          <w:vertAlign w:val="subscript"/>
        </w:rPr>
        <w:t xml:space="preserve">g</w:t>
      </w:r>
      <w:r>
        <w:t xml:space="preserve"> </w:t>
      </w:r>
      <w:r>
        <w:t xml:space="preserve">branch is fixed (RMS 39 mV vs SCAPS at f = 0.53); a shallow mid-doping de-spike residual (the ~10</w:t>
      </w:r>
      <w:r>
        <w:rPr>
          <w:vertAlign w:val="superscript"/>
        </w:rPr>
        <w:t xml:space="preserve">13</w:t>
      </w:r>
      <w:r>
        <w:t xml:space="preserve">–10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dip) remains.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also rises with doping. All three SolarLab configurations now match the SCAPS rising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(mV)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SS-states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(8+6fb)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 (what it fixes, and what it cannot).</w:t>
      </w:r>
      <w:r>
        <w:t xml:space="preserve"> </w:t>
      </w:r>
      <w:r>
        <w:t xml:space="preserve">The interface-plane channel was over-strong (base -61 mV,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SCAPS, with all interface</w:t>
      </w:r>
      <w:r>
        <w:t xml:space="preserve"> </w:t>
      </w:r>
      <w:r>
        <w:rPr>
          <w:iCs/>
          <w:i/>
        </w:rPr>
        <w:t xml:space="preserve">directions</w:t>
      </w:r>
      <w:r>
        <w:t xml:space="preserve"> </w:t>
      </w:r>
      <w:r>
        <w:t xml:space="preserve">matched (including the Nd_ETL flat-&gt;rising fix). The scalar is homogeneous degree-1 in (v</w:t>
      </w:r>
      <w:r>
        <w:rPr>
          <w:vertAlign w:val="subscript"/>
        </w:rPr>
        <w:t xml:space="preserve">n</w:t>
      </w:r>
      <w:r>
        <w:t xml:space="preserve">, v</w:t>
      </w:r>
      <w:r>
        <w:rPr>
          <w:vertAlign w:val="subscript"/>
        </w:rPr>
        <w:t xml:space="preserve">p</w:t>
      </w:r>
      <w:r>
        <w:t xml:space="preserve">) — a pure</w:t>
      </w:r>
      <w:r>
        <w:t xml:space="preserve"> </w:t>
      </w:r>
      <w:r>
        <w:rPr>
          <w:bCs/>
          <w:b/>
        </w:rPr>
        <w:t xml:space="preserve">rate knob</w:t>
      </w:r>
      <w:r>
        <w:t xml:space="preserve">: it sets the absolutes / base, NOT the sweep</w:t>
      </w:r>
      <w:r>
        <w:t xml:space="preserve"> </w:t>
      </w:r>
      <w:r>
        <w:rPr>
          <w:iCs/>
          <w:i/>
        </w:rPr>
        <w:t xml:space="preserve">amplitudes</w:t>
      </w:r>
      <w:r>
        <w:t xml:space="preserve">. So the residual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errors are structural, not a further-tuning target: 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acutely window-sensitive (52 % closure measured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1e13-1e18, vs the 189 % the figure reports over the wider SCAPS doping window — it is not pinned),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63 %. Reaching those magnitudes needs a change to the interface-state</w:t>
      </w:r>
      <w:r>
        <w:t xml:space="preserve"> </w:t>
      </w:r>
      <w:r>
        <w:rPr>
          <w:iCs/>
          <w:i/>
        </w:rPr>
        <w:t xml:space="preserve">response model</w:t>
      </w:r>
      <w:r>
        <w:t xml:space="preserve">, not the scalar.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rPr>
          <w:bCs/>
          <w:b/>
        </w:rPr>
        <w:t xml:space="preserve">Update (2026-07-02) — the transient path now recovers this direction too.</w:t>
      </w:r>
      <w:r>
        <w:t xml:space="preserve"> </w:t>
      </w:r>
      <w:r>
        <w:t xml:space="preserve">A root-cause reanalysis pinned the specific missing physics: SolarLab’s contact</w:t>
      </w:r>
      <w:r>
        <w:t xml:space="preserve"> </w:t>
      </w:r>
      <w:r>
        <w:t xml:space="preserve">carrier reservoir was tied to the semiconductor doping (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), so at</w:t>
      </w:r>
      <w:r>
        <w:t xml:space="preserve"> </w:t>
      </w:r>
      <w:r>
        <w:t xml:space="preserve">$N_{D,ETL}</w:t>
      </w:r>
      <w:r>
        <w:t xml:space="preserve"> </w:t>
      </w:r>
      <w:r>
        <w:t xml:space="preserve">$10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t xml:space="preserve">−3</w:t>
      </w:r>
      <w:r>
        <w:t xml:space="preserve"> </w:t>
      </w:r>
      <w:r>
        <w:t xml:space="preserve">the cathode</w:t>
      </w:r>
      <w:r>
        <w:t xml:space="preserve"> </w:t>
      </w:r>
      <w:r>
        <w:rPr>
          <w:iCs/>
          <w:i/>
        </w:rPr>
        <w:t xml:space="preserve">starves</w:t>
      </w:r>
      <w:r>
        <w:t xml:space="preserve"> </w:t>
      </w:r>
      <w:r>
        <w:t xml:space="preserve">and the transient forward</w:t>
      </w:r>
      <w:r>
        <w:t xml:space="preserve"> </w:t>
      </w:r>
      <w:r>
        <w:t xml:space="preserve">sweep finds no physical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crossing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unbracketed, or on an unphysical</w:t>
      </w:r>
      <w:r>
        <w:t xml:space="preserve"> </w:t>
      </w:r>
      <m:oMath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branch) — the actual origin of the U-shape’s missing/mismatched low arm.</w:t>
      </w:r>
      <w:r>
        <w:t xml:space="preserve"> </w:t>
      </w:r>
      <w:r>
        <w:t xml:space="preserve">It is the contact</w:t>
      </w:r>
      <w:r>
        <w:t xml:space="preserve"> </w:t>
      </w:r>
      <w:r>
        <w:rPr>
          <w:bCs/>
          <w:b/>
        </w:rPr>
        <w:t xml:space="preserve">model</w:t>
      </w:r>
      <w:r>
        <w:t xml:space="preserve">, not the solver: the steady-state Newton fails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with the same ideal pin, and neither</w:t>
      </w:r>
      <w:r>
        <w:t xml:space="preserve"> </w:t>
      </w:r>
      <w:r>
        <w:rPr>
          <w:rStyle w:val="VerbatimChar"/>
        </w:rPr>
        <w:t xml:space="preserve">flat_band_contacts</w:t>
      </w:r>
      <w:r>
        <w:t xml:space="preserve"> </w:t>
      </w:r>
      <w:r>
        <w:t xml:space="preserve">nor</w:t>
      </w:r>
      <w:r>
        <w:t xml:space="preserve"> </w:t>
      </w:r>
      <w:r>
        <w:t xml:space="preserve">finite-S Robin contacts fix it (all measured). Adding SCAPS’s flat-band-metal</w:t>
      </w:r>
      <w:r>
        <w:t xml:space="preserve"> </w:t>
      </w:r>
      <w:r>
        <w:t xml:space="preserve">contact convention — flooring each contact’s</w:t>
      </w:r>
      <w:r>
        <w:t xml:space="preserve"> </w:t>
      </w:r>
      <w:r>
        <w:rPr>
          <w:iCs/>
          <w:i/>
        </w:rPr>
        <w:t xml:space="preserve">majority-carrier</w:t>
      </w:r>
      <w:r>
        <w:t xml:space="preserve"> </w:t>
      </w:r>
      <w:r>
        <w:t xml:space="preserve">reservoir at the</w:t>
      </w:r>
      <w:r>
        <w:t xml:space="preserve"> </w:t>
      </w:r>
      <w:r>
        <w:t xml:space="preserve">work-function density</w:t>
      </w:r>
      <w:r>
        <w:t xml:space="preserve"> </w:t>
      </w:r>
      <m:oMath>
        <m:r>
          <m:rPr>
            <m:nor/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/</m:t>
            </m:r>
            <m:r>
              <m:t>A</m:t>
            </m:r>
          </m:sub>
        </m:sSub>
        <m:r>
          <m:rPr>
            <m:nor/>
            <m:sty m:val="p"/>
          </m:rPr>
          <m:t>-eq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C</m:t>
            </m:r>
            <m:r>
              <m:rPr>
                <m:sty m:val="p"/>
              </m:rPr>
              <m:t>/</m:t>
            </m:r>
            <m:r>
              <m:t>V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flat_band_metal_contacts</w:t>
      </w:r>
      <w:r>
        <w:t xml:space="preserve">, doping-sign selected, and</w:t>
      </w:r>
      <w:r>
        <w:t xml:space="preserve"> </w:t>
      </w:r>
      <w:r>
        <w:rPr>
          <w:iCs/>
          <w:i/>
        </w:rPr>
        <w:t xml:space="preserve">dormant</w:t>
      </w:r>
      <w:r>
        <w:t xml:space="preserve"> </w:t>
      </w:r>
      <w:r>
        <w:t xml:space="preserve">at heavily-doped</w:t>
      </w:r>
      <w:r>
        <w:t xml:space="preserve"> </w:t>
      </w:r>
      <w:r>
        <w:t xml:space="preserve">contacts so it is bit-identical everywhere except the weakly-doped contact it</w:t>
      </w:r>
      <w:r>
        <w:t xml:space="preserve"> </w:t>
      </w:r>
      <w:r>
        <w:t xml:space="preserve">rescues) — makes the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bracket all eleven points and rise with</w:t>
      </w:r>
      <w:r>
        <w:t xml:space="preserve"> </w:t>
      </w:r>
      <w:r>
        <w:t xml:space="preserve">doping: 0.98 → 1.17 V (f = 0.53,</w:t>
      </w:r>
      <w:r>
        <w:t xml:space="preserve"> </w:t>
      </w:r>
      <m:oMath>
        <m:sSub>
          <m:e>
            <m:r>
              <m:t>ϕ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0.42 eV), RMS 39 mV vs SCAPS, all</w:t>
      </w:r>
      <w:r>
        <w:t xml:space="preserve"> </w:t>
      </w:r>
      <w:r>
        <w:t xml:space="preserve">physical. The Section-4 ETL-doping figure now uses this fixed transient path. The</w:t>
      </w:r>
      <w:r>
        <w:t xml:space="preserve"> </w:t>
      </w:r>
      <w:r>
        <w:t xml:space="preserve">earlier</w:t>
      </w:r>
      <w:r>
        <w:t xml:space="preserve"> </w:t>
      </w:r>
      <w:r>
        <w:t xml:space="preserve">“</w:t>
      </w:r>
      <w:r>
        <w:t xml:space="preserve">structural, needs the interface-plane-states driver</w:t>
      </w:r>
      <w:r>
        <w:t xml:space="preserve">”</w:t>
      </w:r>
      <w:r>
        <w:t xml:space="preserve"> </w:t>
      </w:r>
      <w:r>
        <w:t xml:space="preserve">verdict is</w:t>
      </w:r>
      <w:r>
        <w:t xml:space="preserve"> </w:t>
      </w:r>
      <w:r>
        <w:rPr>
          <w:bCs/>
          <w:b/>
        </w:rPr>
        <w:t xml:space="preserve">superseded for direction and physicality</w:t>
      </w:r>
      <w:r>
        <w:t xml:space="preserve">; the remaining residuals are a</w:t>
      </w:r>
      <w:r>
        <w:t xml:space="preserve"> </w:t>
      </w:r>
      <w:r>
        <w:t xml:space="preserve">shallow mid-doping de-spike dip (10</w:t>
      </w:r>
      <w:r>
        <w:rPr>
          <w:vertAlign w:val="superscript"/>
        </w:rPr>
        <w:t xml:space="preserve">13</w:t>
      </w:r>
      <w:r>
        <w:t xml:space="preserve">–10</w:t>
      </w:r>
      <w:r>
        <w:rPr>
          <w:vertAlign w:val="superscript"/>
        </w:rPr>
        <w:t xml:space="preserve">16</w:t>
      </w:r>
      <w:r>
        <w:t xml:space="preserve">) and a low-doping absolute ~80–120 mV</w:t>
      </w:r>
      <w:r>
        <w:t xml:space="preserve"> </w:t>
      </w:r>
      <w:r>
        <w:t xml:space="preserve">under SCAPS (the reservoir arm is steeper than SCAPS’s flat-then-steep shape).</w:t>
      </w:r>
      <w:r>
        <w:t xml:space="preserve"> </w:t>
      </w:r>
      <w:r>
        <w:t xml:space="preserve">Shipped on</w:t>
      </w:r>
      <w:r>
        <w:t xml:space="preserve"> </w:t>
      </w:r>
      <w:r>
        <w:rPr>
          <w:rStyle w:val="VerbatimChar"/>
        </w:rPr>
        <w:t xml:space="preserve">scaps_mirror_v2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b40ec68</w:t>
      </w:r>
      <w:r>
        <w:t xml:space="preserve">); default-off elsewhere.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t xml:space="preserve">−3</w:t>
      </w:r>
      <w:r>
        <w:t xml:space="preserve">^,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 (predates the 2026-07-02 contact-reservoir fix — see the update note above and the Section-4 panels for the fixed transient)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</w:t>
      </w:r>
      <w:r>
        <w:rPr>
          <w:iCs/>
          <w:i/>
        </w:rPr>
        <w:t xml:space="preserve">predates the 2026-07-02 contact-reservoir fix</w:t>
      </w:r>
      <w:r>
        <w:t xml:space="preserve"> </w:t>
      </w:r>
      <w:r>
        <w:t xml:space="preserve">— see</w:t>
      </w:r>
      <w:r>
        <w:t xml:space="preserve"> </w:t>
      </w:r>
      <w:r>
        <w:t xml:space="preserve">the update note above and the Section-4 panels for the fixed transient): the</w:t>
      </w:r>
      <w:r>
        <w:t xml:space="preserve"> </w:t>
      </w:r>
      <w:r>
        <w:t xml:space="preserve">transient de-spike curves (f=0.53 blue, f=0.66 green) are U-shaped — direction</w:t>
      </w:r>
      <w:r>
        <w:t xml:space="preserve"> </w:t>
      </w:r>
      <w:r>
        <w:t xml:space="preserve">mismatch — while the steady-state interface-states driver (purple) rises</w:t>
      </w:r>
      <w:r>
        <w:t xml:space="preserve"> </w:t>
      </w:r>
      <w:r>
        <w:t xml:space="preserve">monotonically with doping, matching the SCAPS direction. Magnitude over-responds</w:t>
      </w:r>
      <w:r>
        <w:t xml:space="preserve"> </w:t>
      </w:r>
      <w:r>
        <w:t xml:space="preserve">and the absolute sits below SCAPS (the 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reference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t xml:space="preserve">−3</w:t>
      </w:r>
      <w:r>
        <w:t xml:space="preserve">^ 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reference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2026-07-02T09:09:12Z</dcterms:created>
  <dcterms:modified xsi:type="dcterms:W3CDTF">2026-07-02T09:09:12Z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2026-07-02</vt:lpwstr>
  </property>
  <property fmtid="{D5CDD505-2E9C-101B-9397-08002B2CF9AE}" pid="3" name="header-includes">
    <vt:lpwstr/>
  </property>
</Properties>
</file>