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35E4E">
      <w:pPr>
        <w:pStyle w:val="17"/>
        <w:jc w:val="center"/>
      </w:pPr>
      <w:r>
        <w:t>Validation of the SolarLab Device Simulator against SCAPS-1D</w:t>
      </w:r>
    </w:p>
    <w:sdt>
      <w:sdtPr>
        <w:id w:val="329622451"/>
        <w:docPartObj>
          <w:docPartGallery w:val="Table of Contents"/>
          <w:docPartUnique/>
        </w:docPartObj>
      </w:sdtPr>
      <w:sdtContent>
        <w:p w14:paraId="4541DC13">
          <w:pPr>
            <w:pStyle w:val="39"/>
            <w:jc w:val="both"/>
          </w:pPr>
        </w:p>
        <w:p w14:paraId="041BA83E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begin"/>
          </w:r>
          <w:r>
            <w:instrText xml:space="preserve"> HYPERLINK \l _Toc1918693584 </w:instrText>
          </w:r>
          <w:r>
            <w:fldChar w:fldCharType="separate"/>
          </w:r>
          <w:r>
            <w:t>Summary</w:t>
          </w:r>
          <w:r>
            <w:tab/>
          </w:r>
          <w:r>
            <w:fldChar w:fldCharType="begin"/>
          </w:r>
          <w:r>
            <w:instrText xml:space="preserve"> PAGEREF _Toc1918693584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3A607CE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_Toc868622936 </w:instrText>
          </w:r>
          <w:r>
            <w:fldChar w:fldCharType="separate"/>
          </w:r>
          <w:r>
            <w:t>1. Introduction</w:t>
          </w:r>
          <w:r>
            <w:tab/>
          </w:r>
          <w:r>
            <w:fldChar w:fldCharType="begin"/>
          </w:r>
          <w:r>
            <w:instrText xml:space="preserve"> PAGEREF _Toc868622936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4906B5E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_Toc351853046 </w:instrText>
          </w:r>
          <w:r>
            <w:fldChar w:fldCharType="separate"/>
          </w:r>
          <w:r>
            <w:t>2. Methodology</w:t>
          </w:r>
          <w:r>
            <w:tab/>
          </w:r>
          <w:r>
            <w:fldChar w:fldCharType="begin"/>
          </w:r>
          <w:r>
            <w:instrText xml:space="preserve"> PAGEREF _Toc351853046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58C495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_Toc1571663931 </w:instrText>
          </w:r>
          <w:r>
            <w:fldChar w:fldCharType="separate"/>
          </w:r>
          <w:r>
            <w:t>3. Base operating point</w:t>
          </w:r>
          <w:r>
            <w:tab/>
          </w:r>
          <w:r>
            <w:fldChar w:fldCharType="begin"/>
          </w:r>
          <w:r>
            <w:instrText xml:space="preserve"> PAGEREF _Toc1571663931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F3F29E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_Toc906830217 </w:instrText>
          </w:r>
          <w:r>
            <w:fldChar w:fldCharType="separate"/>
          </w:r>
          <w:r>
            <w:t>4. Sweep-by-sweep comparison</w:t>
          </w:r>
          <w:r>
            <w:tab/>
          </w:r>
          <w:r>
            <w:fldChar w:fldCharType="begin"/>
          </w:r>
          <w:r>
            <w:instrText xml:space="preserve"> PAGEREF _Toc906830217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6096FE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_Toc404014360 </w:instrText>
          </w:r>
          <w:r>
            <w:fldChar w:fldCharType="separate"/>
          </w:r>
          <w:r>
            <w:t>5. Analysis of the current situation</w:t>
          </w:r>
          <w:r>
            <w:tab/>
          </w:r>
          <w:r>
            <w:fldChar w:fldCharType="begin"/>
          </w:r>
          <w:r>
            <w:instrText xml:space="preserve"> PAGEREF _Toc404014360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F502FE4">
          <w:pPr>
            <w:pStyle w:val="15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_Toc2073540353 </w:instrText>
          </w:r>
          <w:r>
            <w:fldChar w:fldCharType="separate"/>
          </w:r>
          <w:r>
            <w:t>6. Conclusion and outlook</w:t>
          </w:r>
          <w:r>
            <w:tab/>
          </w:r>
          <w:r>
            <w:fldChar w:fldCharType="begin"/>
          </w:r>
          <w:r>
            <w:instrText xml:space="preserve"> PAGEREF _Toc2073540353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5A9AD5D">
          <w:pPr>
            <w:jc w:val="both"/>
          </w:pPr>
          <w:r>
            <w:fldChar w:fldCharType="end"/>
          </w:r>
        </w:p>
      </w:sdtContent>
    </w:sdt>
    <w:p w14:paraId="7DDE5AD3">
      <w:pPr>
        <w:pStyle w:val="2"/>
        <w:jc w:val="both"/>
      </w:pPr>
      <w:bookmarkStart w:id="0" w:name="_Toc1918693584"/>
      <w:bookmarkStart w:id="1" w:name="summary"/>
      <w:r>
        <w:t>Summary</w:t>
      </w:r>
      <w:bookmarkEnd w:id="0"/>
    </w:p>
    <w:p w14:paraId="47A832CE">
      <w:pPr>
        <w:pStyle w:val="24"/>
        <w:jc w:val="both"/>
      </w:pPr>
      <w:r>
        <w:t xml:space="preserve">This report documents the validation of SolarLab — an in-house one-dimensional device simulator coupling drift–diffusion transport, the Poisson equation, and mobile-ion migration with transfer-matrix optics — against the established reference solver SCAPS-1D. The test case is the three-layer perovskite </w:t>
      </w:r>
      <w:r>
        <w:rPr>
          <w:rFonts w:hint="default"/>
          <w:lang w:val="en-US"/>
        </w:rPr>
        <w:t>b</w:t>
      </w:r>
      <w:r>
        <w:t xml:space="preserve">ase </w:t>
      </w:r>
      <w:r>
        <w:rPr>
          <w:rFonts w:hint="default"/>
          <w:lang w:val="en-US"/>
        </w:rPr>
        <w:t>m</w:t>
      </w:r>
      <w:r>
        <w:t xml:space="preserve">odel, and the comparison spans the base current–voltage operating point together with all </w:t>
      </w:r>
      <w:r>
        <w:rPr>
          <w:rFonts w:hint="default"/>
          <w:lang w:val="en-US"/>
        </w:rPr>
        <w:t xml:space="preserve">11 </w:t>
      </w:r>
      <w:r>
        <w:t xml:space="preserve">single-variable parameter sweeps recorded in the </w:t>
      </w:r>
      <w:r>
        <w:rPr>
          <w:rFonts w:hint="default"/>
          <w:lang w:val="en-US"/>
        </w:rPr>
        <w:t xml:space="preserve">SCAPS-1D test </w:t>
      </w:r>
      <w:r>
        <w:t>workbook. At the operating point, SolarLab reproduces the short-circuit current density to within 2% and the fill factor to within 1.4</w:t>
      </w:r>
      <w:r>
        <w:rPr>
          <w:rFonts w:hint="eastAsia"/>
          <w:lang w:val="en-US" w:eastAsia="zh-CN"/>
        </w:rPr>
        <w:t>%</w:t>
      </w:r>
      <w:r>
        <w:t xml:space="preserve"> of SCAPS, while the open-circuit voltage is 96 mV lower. Across the </w:t>
      </w:r>
      <w:r>
        <w:rPr>
          <w:rFonts w:hint="default"/>
          <w:lang w:val="en-US"/>
        </w:rPr>
        <w:t>11</w:t>
      </w:r>
      <w:r>
        <w:rPr>
          <w:rFonts w:hint="eastAsia"/>
          <w:lang w:val="en-US" w:eastAsia="zh-CN"/>
        </w:rPr>
        <w:t xml:space="preserve"> </w:t>
      </w:r>
      <w:r>
        <w:t xml:space="preserve">sweeps, </w:t>
      </w:r>
      <w:r>
        <w:rPr>
          <w:rFonts w:hint="eastAsia"/>
          <w:lang w:val="en-US" w:eastAsia="zh-CN"/>
        </w:rPr>
        <w:t xml:space="preserve">7 </w:t>
      </w:r>
      <w:r>
        <w:t xml:space="preserve">match SCAPS in both direction and shape, </w:t>
      </w:r>
      <w:r>
        <w:rPr>
          <w:rFonts w:hint="eastAsia"/>
          <w:lang w:val="en-US" w:eastAsia="zh-CN"/>
        </w:rPr>
        <w:t xml:space="preserve">2 </w:t>
      </w:r>
      <w:r>
        <w:t xml:space="preserve">match partially, and </w:t>
      </w:r>
      <w:r>
        <w:rPr>
          <w:rFonts w:hint="eastAsia"/>
          <w:lang w:val="en-US" w:eastAsia="zh-CN"/>
        </w:rPr>
        <w:t xml:space="preserve">2 </w:t>
      </w:r>
      <w:r>
        <w:t>remain open. Every SolarLab result satisfies the governing physical bounds — the short-circuit current stays below the Shockley–Queisser limit, the open-circuit voltage below the built-in potential, and recombination remains non-negative throughout.</w:t>
      </w:r>
    </w:p>
    <w:bookmarkEnd w:id="1"/>
    <w:p w14:paraId="0E50AB1E">
      <w:pPr>
        <w:pStyle w:val="2"/>
        <w:jc w:val="both"/>
      </w:pPr>
      <w:bookmarkStart w:id="2" w:name="_Toc868622936"/>
      <w:bookmarkStart w:id="3" w:name="introduction"/>
      <w:r>
        <w:t>1. Introduction</w:t>
      </w:r>
      <w:bookmarkEnd w:id="2"/>
    </w:p>
    <w:p w14:paraId="6E329D52">
      <w:pPr>
        <w:pStyle w:val="24"/>
        <w:jc w:val="both"/>
      </w:pPr>
      <w:r>
        <w:t>SolarLab solves the coupled drift–diffusion and Poisson system for electrons, holes, and mobile ionic species in one spatial dimension</w:t>
      </w:r>
      <w:r>
        <w:rPr>
          <w:rFonts w:hint="default"/>
          <w:lang w:val="en-US"/>
        </w:rPr>
        <w:t xml:space="preserve"> (also we take the prior consideration of the 2D situation into consideration)</w:t>
      </w:r>
      <w:r>
        <w:t xml:space="preserve">, using a Scharfetter–Gummel discretization advanced in time by an implicit Radau integrator, with optical generation supplied by a transfer-matrix (TMM) optical stack. SCAPS-1D is a widely used semiconductor device simulator for </w:t>
      </w:r>
      <w:r>
        <w:rPr>
          <w:rFonts w:hint="default"/>
          <w:lang w:val="en-US"/>
        </w:rPr>
        <w:t>inorganic</w:t>
      </w:r>
      <w:r>
        <w:t xml:space="preserve"> cells and serves here as the reference against which SolarLab is benchmarked.</w:t>
      </w:r>
    </w:p>
    <w:p w14:paraId="775F289B">
      <w:pPr>
        <w:pStyle w:val="3"/>
        <w:jc w:val="both"/>
      </w:pPr>
      <w:r>
        <w:t xml:space="preserve">The validation device is the </w:t>
      </w:r>
      <w:r>
        <w:rPr>
          <w:rFonts w:hint="default"/>
          <w:lang w:val="en-US"/>
        </w:rPr>
        <w:t>b</w:t>
      </w:r>
      <w:r>
        <w:t xml:space="preserve">ase </w:t>
      </w:r>
      <w:r>
        <w:rPr>
          <w:rFonts w:hint="default"/>
          <w:lang w:val="en-US"/>
        </w:rPr>
        <w:t>m</w:t>
      </w:r>
      <w:r>
        <w:t xml:space="preserve">odel: a hole-transport layer (20 nm), a </w:t>
      </w:r>
      <w:r>
        <w:rPr>
          <w:rFonts w:hint="default"/>
          <w:lang w:val="en-US"/>
        </w:rPr>
        <w:t xml:space="preserve">perovskite </w:t>
      </w:r>
      <w:r>
        <w:t>absorber (800 nm, bandgap E</w:t>
      </w:r>
      <w:r>
        <w:rPr>
          <w:vertAlign w:val="subscript"/>
        </w:rPr>
        <w:t>g</w:t>
      </w:r>
      <w:r>
        <w:t xml:space="preserve"> = 1.53 eV), and an electron-transport layer (25 nm). All material and defect parameters, and the reference sweep data, are taken from the workbook </w:t>
      </w:r>
      <w:r>
        <w:rPr>
          <w:rStyle w:val="36"/>
        </w:rPr>
        <w:t>1R-Parameters.xlsx</w:t>
      </w:r>
      <w:r>
        <w:t>.</w:t>
      </w:r>
    </w:p>
    <w:p w14:paraId="0266929E">
      <w:pPr>
        <w:pStyle w:val="3"/>
        <w:jc w:val="both"/>
      </w:pPr>
      <w:r>
        <w:t xml:space="preserve">The validation prioritizes trend fidelity and physical validity over absolute numerical coincidence. A device simulator earns confidence first by reproducing the </w:t>
      </w:r>
      <w:r>
        <w:rPr>
          <w:i/>
          <w:iCs/>
        </w:rPr>
        <w:t>direction and shape</w:t>
      </w:r>
      <w:r>
        <w:t xml:space="preserve"> of a cell’s response to each design parameter, and by never violating the conservation laws and detailed-balance bounds that constrain any physical device. Absolute </w:t>
      </w:r>
      <w:r>
        <w:rPr>
          <w:lang w:val="en-US"/>
        </w:rPr>
        <w:t>figures</w:t>
      </w:r>
      <w:r>
        <w:t xml:space="preserve"> are expected to approach the reference but need not coincide, particularly where the two solvers make different but individually defensible modelling choices.</w:t>
      </w:r>
    </w:p>
    <w:bookmarkEnd w:id="3"/>
    <w:p w14:paraId="78488197">
      <w:pPr>
        <w:pStyle w:val="2"/>
        <w:jc w:val="both"/>
      </w:pPr>
      <w:bookmarkStart w:id="4" w:name="_Toc351853046"/>
      <w:bookmarkStart w:id="5" w:name="methodology"/>
      <w:r>
        <w:t>2. Methodology</w:t>
      </w:r>
      <w:bookmarkEnd w:id="4"/>
    </w:p>
    <w:p w14:paraId="031652FF">
      <w:pPr>
        <w:pStyle w:val="24"/>
        <w:jc w:val="both"/>
      </w:pPr>
      <w:r>
        <w:t xml:space="preserve">SolarLab is configured to mirror the SCAPS </w:t>
      </w:r>
      <w:r>
        <w:rPr>
          <w:rFonts w:hint="default"/>
          <w:lang w:val="en-US"/>
        </w:rPr>
        <w:t>b</w:t>
      </w:r>
      <w:r>
        <w:t xml:space="preserve">ase </w:t>
      </w:r>
      <w:r>
        <w:rPr>
          <w:rFonts w:hint="default"/>
          <w:lang w:val="en-US"/>
        </w:rPr>
        <w:t>m</w:t>
      </w:r>
      <w:r>
        <w:t xml:space="preserve">odel through the </w:t>
      </w:r>
      <w:r>
        <w:rPr>
          <w:rStyle w:val="36"/>
        </w:rPr>
        <w:t>scaps_mirror_v2.yaml</w:t>
      </w:r>
      <w:r>
        <w:t xml:space="preserve"> device definition, which encodes the partner layer stack, doping, mobilities, defect levels, and optical constants, and adds a glass front substrate so that the optical stack is complete. Each of the </w:t>
      </w:r>
      <w:r>
        <w:rPr>
          <w:rFonts w:hint="eastAsia"/>
          <w:lang w:val="en-US" w:eastAsia="zh-CN"/>
        </w:rPr>
        <w:t xml:space="preserve">11 </w:t>
      </w:r>
      <w:r>
        <w:t xml:space="preserve">single-variable sweeps varies one physical parameter across the range tabulated in the workbook while holding all others fixed, and the resulting </w:t>
      </w:r>
      <w:r>
        <w:rPr>
          <w:lang w:val="en-US"/>
        </w:rPr>
        <w:t>figures</w:t>
      </w:r>
      <w:r>
        <w:t xml:space="preserve"> (V</w:t>
      </w:r>
      <w:r>
        <w:rPr>
          <w:vertAlign w:val="subscript"/>
        </w:rPr>
        <w:t>oc</w:t>
      </w:r>
      <w:r>
        <w:t>, J</w:t>
      </w:r>
      <w:r>
        <w:rPr>
          <w:vertAlign w:val="subscript"/>
        </w:rPr>
        <w:t>sc</w:t>
      </w:r>
      <w:r>
        <w:t>, FF, PCE) are compared directly against the SCAPS values.</w:t>
      </w:r>
    </w:p>
    <w:p w14:paraId="2A13397D">
      <w:pPr>
        <w:pStyle w:val="3"/>
        <w:jc w:val="both"/>
        <w:rPr>
          <w:rFonts w:hint="default" w:eastAsiaTheme="minorHAnsi"/>
          <w:lang w:val="en-US" w:eastAsia="zh-CN"/>
        </w:rPr>
      </w:pPr>
      <w:r>
        <w:t>Every simulation is checked against a set of physical gates that must hold for the result to be admissible: the short-circuit current density must not exceed the Shockley–Queisser limit for the absorber bandgap (≈ 27.5 mA/cm</w:t>
      </w:r>
      <w:r>
        <w:rPr>
          <w:vertAlign w:val="superscript"/>
        </w:rPr>
        <w:t>2</w:t>
      </w:r>
      <w:r>
        <w:t xml:space="preserve"> at E</w:t>
      </w:r>
      <w:r>
        <w:rPr>
          <w:vertAlign w:val="subscript"/>
        </w:rPr>
        <w:t>g</w:t>
      </w:r>
      <w:r>
        <w:t xml:space="preserve"> = 1.53 eV); the open-circuit voltage must not exceed the built-in potential; recombination must be non-negative at illuminated forward bias; the optical balance R + T + A = 1 must be conserved</w:t>
      </w:r>
      <w:r>
        <w:rPr>
          <w:rFonts w:hint="default"/>
          <w:lang w:val="en-US"/>
        </w:rPr>
        <w:t>.</w:t>
      </w:r>
    </w:p>
    <w:bookmarkEnd w:id="5"/>
    <w:p w14:paraId="58910887">
      <w:pPr>
        <w:pStyle w:val="2"/>
        <w:jc w:val="both"/>
      </w:pPr>
      <w:bookmarkStart w:id="6" w:name="_Toc1571663931"/>
      <w:bookmarkStart w:id="7" w:name="base-operating-point"/>
      <w:r>
        <w:t>3. Base operating point</w:t>
      </w:r>
      <w:bookmarkEnd w:id="6"/>
    </w:p>
    <w:p w14:paraId="1057D5E4">
      <w:pPr>
        <w:pStyle w:val="24"/>
        <w:jc w:val="both"/>
      </w:pPr>
      <w:r>
        <w:t xml:space="preserve">Table 1 compares the base J–V </w:t>
      </w:r>
      <w:r>
        <w:rPr>
          <w:lang w:val="en-US"/>
        </w:rPr>
        <w:t>figure</w:t>
      </w:r>
      <w:r>
        <w:t>.</w:t>
      </w:r>
    </w:p>
    <w:tbl>
      <w:tblPr>
        <w:tblStyle w:val="29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1203"/>
        <w:gridCol w:w="1006"/>
        <w:gridCol w:w="1379"/>
      </w:tblGrid>
      <w:tr w14:paraId="0BAC1D64">
        <w:tc>
          <w:p w14:paraId="4DB16ED3">
            <w:pPr>
              <w:pStyle w:val="25"/>
              <w:jc w:val="both"/>
            </w:pPr>
            <w:r>
              <w:t>Metric</w:t>
            </w:r>
          </w:p>
        </w:tc>
        <w:tc>
          <w:p w14:paraId="3AAD2EE8">
            <w:pPr>
              <w:pStyle w:val="25"/>
              <w:jc w:val="both"/>
            </w:pPr>
            <w:r>
              <w:t>SolarLab</w:t>
            </w:r>
          </w:p>
        </w:tc>
        <w:tc>
          <w:p w14:paraId="150DA2E4">
            <w:pPr>
              <w:pStyle w:val="25"/>
              <w:jc w:val="both"/>
            </w:pPr>
            <w:r>
              <w:t>SCAPS</w:t>
            </w:r>
          </w:p>
        </w:tc>
        <w:tc>
          <w:p w14:paraId="56E267E2">
            <w:pPr>
              <w:pStyle w:val="25"/>
              <w:jc w:val="both"/>
            </w:pPr>
            <w:r>
              <w:t>Difference</w:t>
            </w:r>
          </w:p>
        </w:tc>
      </w:tr>
      <w:tr w14:paraId="62402CE5">
        <w:tc>
          <w:p w14:paraId="0B075EA3">
            <w:pPr>
              <w:pStyle w:val="25"/>
              <w:jc w:val="both"/>
            </w:pPr>
            <w:r>
              <w:t>V</w:t>
            </w:r>
            <w:r>
              <w:rPr>
                <w:vertAlign w:val="subscript"/>
              </w:rPr>
              <w:t>oc</w:t>
            </w:r>
            <w:r>
              <w:t xml:space="preserve"> (V)</w:t>
            </w:r>
          </w:p>
        </w:tc>
        <w:tc>
          <w:p w14:paraId="31CCE391">
            <w:pPr>
              <w:pStyle w:val="25"/>
              <w:jc w:val="both"/>
            </w:pPr>
            <w:r>
              <w:t>1.072</w:t>
            </w:r>
          </w:p>
        </w:tc>
        <w:tc>
          <w:p w14:paraId="463DF02D">
            <w:pPr>
              <w:pStyle w:val="25"/>
              <w:jc w:val="both"/>
            </w:pPr>
            <w:r>
              <w:t>1.168</w:t>
            </w:r>
          </w:p>
        </w:tc>
        <w:tc>
          <w:p w14:paraId="7B77F9AE">
            <w:pPr>
              <w:pStyle w:val="25"/>
              <w:jc w:val="both"/>
            </w:pPr>
            <w:r>
              <w:rPr>
                <w:rFonts w:hint="eastAsia"/>
                <w:lang w:val="en-US" w:eastAsia="zh-CN"/>
              </w:rPr>
              <w:t>-</w:t>
            </w:r>
            <w:r>
              <w:t>96 mV</w:t>
            </w:r>
          </w:p>
        </w:tc>
      </w:tr>
      <w:tr w14:paraId="263F7710">
        <w:tc>
          <w:p w14:paraId="1EB6CFBA">
            <w:pPr>
              <w:pStyle w:val="25"/>
              <w:jc w:val="both"/>
            </w:pPr>
            <w:r>
              <w:t>J</w:t>
            </w:r>
            <w:r>
              <w:rPr>
                <w:vertAlign w:val="subscript"/>
              </w:rPr>
              <w:t>sc</w:t>
            </w:r>
            <w:r>
              <w:t xml:space="preserve"> (mA/cm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p w14:paraId="7FA9669F">
            <w:pPr>
              <w:pStyle w:val="25"/>
              <w:jc w:val="both"/>
            </w:pPr>
            <w:r>
              <w:t>25.73</w:t>
            </w:r>
          </w:p>
        </w:tc>
        <w:tc>
          <w:p w14:paraId="53296C70">
            <w:pPr>
              <w:pStyle w:val="25"/>
              <w:jc w:val="both"/>
            </w:pPr>
            <w:r>
              <w:t>26.28</w:t>
            </w:r>
          </w:p>
        </w:tc>
        <w:tc>
          <w:p w14:paraId="5EB93913">
            <w:pPr>
              <w:pStyle w:val="25"/>
              <w:jc w:val="both"/>
            </w:pPr>
            <w:r>
              <w:rPr>
                <w:rFonts w:hint="eastAsia"/>
                <w:lang w:val="en-US" w:eastAsia="zh-CN"/>
              </w:rPr>
              <w:t>-</w:t>
            </w:r>
            <w:r>
              <w:t>2%</w:t>
            </w:r>
          </w:p>
        </w:tc>
      </w:tr>
      <w:tr w14:paraId="724E905B">
        <w:tc>
          <w:p w14:paraId="420A30C7">
            <w:pPr>
              <w:pStyle w:val="25"/>
              <w:jc w:val="both"/>
            </w:pPr>
            <w:r>
              <w:t>FF (%)</w:t>
            </w:r>
          </w:p>
        </w:tc>
        <w:tc>
          <w:p w14:paraId="323AB301">
            <w:pPr>
              <w:pStyle w:val="25"/>
              <w:jc w:val="both"/>
            </w:pPr>
            <w:r>
              <w:t>85.6</w:t>
            </w:r>
          </w:p>
        </w:tc>
        <w:tc>
          <w:p w14:paraId="12EFDD7F">
            <w:pPr>
              <w:pStyle w:val="25"/>
              <w:jc w:val="both"/>
            </w:pPr>
            <w:r>
              <w:t>87.0</w:t>
            </w:r>
          </w:p>
        </w:tc>
        <w:tc>
          <w:p w14:paraId="0C5711CA">
            <w:pPr>
              <w:pStyle w:val="25"/>
              <w:jc w:val="both"/>
              <w:rPr>
                <w:rFonts w:hint="eastAsia" w:eastAsiaTheme="minorHAnsi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  <w:r>
              <w:t>1.4</w:t>
            </w:r>
            <w:r>
              <w:rPr>
                <w:rFonts w:hint="eastAsia"/>
                <w:lang w:val="en-US" w:eastAsia="zh-CN"/>
              </w:rPr>
              <w:t>%</w:t>
            </w:r>
          </w:p>
        </w:tc>
      </w:tr>
      <w:tr w14:paraId="72976043">
        <w:tc>
          <w:p w14:paraId="2352E029">
            <w:pPr>
              <w:pStyle w:val="25"/>
              <w:jc w:val="both"/>
            </w:pPr>
            <w:r>
              <w:t>PCE (%)</w:t>
            </w:r>
          </w:p>
        </w:tc>
        <w:tc>
          <w:p w14:paraId="7F1B0F00">
            <w:pPr>
              <w:pStyle w:val="25"/>
              <w:jc w:val="both"/>
            </w:pPr>
            <w:r>
              <w:t>22.1</w:t>
            </w:r>
          </w:p>
        </w:tc>
        <w:tc>
          <w:p w14:paraId="425C9B3E">
            <w:pPr>
              <w:pStyle w:val="25"/>
              <w:jc w:val="both"/>
            </w:pPr>
            <w:r>
              <w:t>26.69</w:t>
            </w:r>
          </w:p>
        </w:tc>
        <w:tc>
          <w:p w14:paraId="01117BCE">
            <w:pPr>
              <w:pStyle w:val="25"/>
              <w:jc w:val="both"/>
              <w:rPr>
                <w:rFonts w:hint="eastAsia" w:eastAsiaTheme="minorHAnsi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  <w:r>
              <w:t>4.6</w:t>
            </w:r>
            <w:r>
              <w:rPr>
                <w:rFonts w:hint="eastAsia"/>
                <w:lang w:val="en-US" w:eastAsia="zh-CN"/>
              </w:rPr>
              <w:t>%</w:t>
            </w:r>
          </w:p>
        </w:tc>
      </w:tr>
    </w:tbl>
    <w:p w14:paraId="4087E3E6">
      <w:pPr>
        <w:pStyle w:val="3"/>
        <w:jc w:val="both"/>
      </w:pPr>
      <w:r>
        <w:t xml:space="preserve">Table 1. Base operating-point comparison on the partner </w:t>
      </w:r>
      <w:r>
        <w:rPr>
          <w:rFonts w:hint="default"/>
          <w:lang w:val="en-US"/>
        </w:rPr>
        <w:t>b</w:t>
      </w:r>
      <w:r>
        <w:t xml:space="preserve">ase </w:t>
      </w:r>
      <w:r>
        <w:rPr>
          <w:rFonts w:hint="default"/>
          <w:lang w:val="en-US"/>
        </w:rPr>
        <w:t>m</w:t>
      </w:r>
      <w:r>
        <w:t>odel.</w:t>
      </w:r>
    </w:p>
    <w:p w14:paraId="4825E493">
      <w:pPr>
        <w:pStyle w:val="3"/>
        <w:jc w:val="both"/>
      </w:pPr>
      <w:r>
        <w:t>The short-circuit current is now physical and within 2% of SCAPS, a direct consequence of completing the optical stack with the glass front substrate; the small residual is front-surface reflection that SolarLab retains and SCAPS idealizes away (Section 5). The fill factor agrees to within 1.4</w:t>
      </w:r>
      <w:r>
        <w:rPr>
          <w:rFonts w:hint="default"/>
          <w:lang w:val="en-US"/>
        </w:rPr>
        <w:t>%</w:t>
      </w:r>
      <w:r>
        <w:t>. The open-circuit voltage is the single dominant discrepancy: its 96 mV shortfall propagates through the V</w:t>
      </w:r>
      <w:r>
        <w:rPr>
          <w:vertAlign w:val="subscript"/>
        </w:rPr>
        <w:t>oc</w:t>
      </w:r>
      <w:r>
        <w:t>-limited power conversion efficiency and accounts for essentially the entire PCE gap. The origin of that shortfall is examined in Section 5.</w:t>
      </w:r>
    </w:p>
    <w:bookmarkEnd w:id="7"/>
    <w:p w14:paraId="2077546C">
      <w:pPr>
        <w:pStyle w:val="2"/>
        <w:jc w:val="both"/>
      </w:pPr>
      <w:bookmarkStart w:id="8" w:name="_Toc906830217"/>
      <w:bookmarkStart w:id="9" w:name="sweep-by-sweep-comparison"/>
      <w:r>
        <w:t>4. Sweep-by-sweep comparison</w:t>
      </w:r>
      <w:bookmarkEnd w:id="8"/>
    </w:p>
    <w:p w14:paraId="55004AB3">
      <w:pPr>
        <w:pStyle w:val="24"/>
        <w:jc w:val="both"/>
      </w:pPr>
      <w:r>
        <w:t xml:space="preserve">The </w:t>
      </w:r>
      <w:r>
        <w:rPr>
          <w:rFonts w:hint="default"/>
          <w:lang w:val="en-US"/>
        </w:rPr>
        <w:t xml:space="preserve">11 </w:t>
      </w:r>
      <w:r>
        <w:t xml:space="preserve">single-variable sweeps are presented below as overlays of SolarLab (solid blue) against SCAPS (dashed </w:t>
      </w:r>
      <w:r>
        <w:rPr>
          <w:rFonts w:hint="default"/>
          <w:lang w:val="en-US"/>
        </w:rPr>
        <w:t>black</w:t>
      </w:r>
      <w:r>
        <w:t xml:space="preserve">), with all </w:t>
      </w:r>
      <w:r>
        <w:rPr>
          <w:rFonts w:hint="eastAsia"/>
          <w:lang w:val="en-US" w:eastAsia="zh-CN"/>
        </w:rPr>
        <w:t xml:space="preserve">4 </w:t>
      </w:r>
      <w:r>
        <w:rPr>
          <w:lang w:val="en-US"/>
        </w:rPr>
        <w:t>figures</w:t>
      </w:r>
      <w:r>
        <w:t xml:space="preserve"> per panel. Grouped by outcome, the results fall into </w:t>
      </w:r>
      <w:r>
        <w:rPr>
          <w:rFonts w:hint="eastAsia"/>
          <w:lang w:val="en-US" w:eastAsia="zh-CN"/>
        </w:rPr>
        <w:t xml:space="preserve">3 </w:t>
      </w:r>
      <w:r>
        <w:t>categories.</w:t>
      </w:r>
    </w:p>
    <w:p w14:paraId="1E0BBBE9">
      <w:pPr>
        <w:pStyle w:val="3"/>
        <w:jc w:val="both"/>
      </w:pPr>
      <w:r>
        <w:rPr>
          <w:b/>
          <w:bCs/>
        </w:rPr>
        <w:t>Matched (seven sweeps).</w:t>
      </w:r>
      <w:r>
        <w:t xml:space="preserve"> The ETL/PVK conduction-band offset sweep (Figure 1) reproduces the SCAPS behaviour closely: a recombination cliff near ΔE</w:t>
      </w:r>
      <w:r>
        <w:rPr>
          <w:vertAlign w:val="subscript"/>
        </w:rPr>
        <w:t>C</w:t>
      </w:r>
      <w:r>
        <w:t xml:space="preserve"> = 0.30 eV giving way to a V</w:t>
      </w:r>
      <w:r>
        <w:rPr>
          <w:vertAlign w:val="subscript"/>
        </w:rPr>
        <w:t>oc</w:t>
      </w:r>
      <w:r>
        <w:t xml:space="preserve"> spike toward 1.08 V, with the direction and cliff slope both matched. The PVK/ETL interface defect-density and defect-level sweeps (Figures 2 and 3) match in direction and saturating shape, the defect-density response spanning roughly 75% of the SCAPS V</w:t>
      </w:r>
      <w:r>
        <w:rPr>
          <w:vertAlign w:val="subscript"/>
        </w:rPr>
        <w:t>oc</w:t>
      </w:r>
      <w:r>
        <w:t xml:space="preserve"> range. The HTL/PVK interface defect-density sweep (Figure 4) is near-flat in both solvers, as are the perovskite conduction- and valence-band defect-level sweeps and the HTL/PVK defect-level sweep (Figures 8–10), where SCAPS likewise shows no significant response. These seven constitute the core of the validation: where SCAPS responds, SolarLab responds in the same direction and shape; where SCAPS is flat, SolarLab is flat.</w:t>
      </w:r>
    </w:p>
    <w:p w14:paraId="65CE2B24">
      <w:pPr>
        <w:pStyle w:val="3"/>
        <w:jc w:val="both"/>
      </w:pPr>
      <w:r>
        <w:rPr>
          <w:b/>
          <w:bCs/>
        </w:rPr>
        <w:t>Partial (two sweeps).</w:t>
      </w:r>
      <w:r>
        <w:t xml:space="preserve"> The ETL donor-doping sweep (Figure 5) is correct on the high-doping — V</w:t>
      </w:r>
      <w:r>
        <w:rPr>
          <w:vertAlign w:val="subscript"/>
        </w:rPr>
        <w:t>oc</w:t>
      </w:r>
      <w:r>
        <w:t xml:space="preserve"> rises with N</w:t>
      </w:r>
      <w:r>
        <w:rPr>
          <w:vertAlign w:val="subscript"/>
        </w:rPr>
        <w:t>D</w:t>
      </w:r>
      <w:r>
        <w:t xml:space="preserve"> in the right direction — but the low-doping points show a V</w:t>
      </w:r>
      <w:r>
        <w:rPr>
          <w:vertAlign w:val="subscript"/>
        </w:rPr>
        <w:t>oc</w:t>
      </w:r>
      <w:r>
        <w:t xml:space="preserve"> dip not present in SCAPS. The PVK donor-doping sweep (Figure 11) is flat in both solvers through 10</w:t>
      </w:r>
      <w:r>
        <w:rPr>
          <w:vertAlign w:val="superscript"/>
        </w:rPr>
        <w:t>16</w:t>
      </w:r>
      <w:r>
        <w:t xml:space="preserve"> cm</w:t>
      </w:r>
      <w:r>
        <w:rPr>
          <w:vertAlign w:val="superscript"/>
        </w:rPr>
        <w:t>−3</w:t>
      </w:r>
      <w:r>
        <w:t xml:space="preserve"> and then collapses at the degenerate 10</w:t>
      </w:r>
      <w:r>
        <w:rPr>
          <w:vertAlign w:val="superscript"/>
        </w:rPr>
        <w:t>18</w:t>
      </w:r>
      <w:r>
        <w:t xml:space="preserve"> cm</w:t>
      </w:r>
      <w:r>
        <w:rPr>
          <w:vertAlign w:val="superscript"/>
        </w:rPr>
        <w:t>−3</w:t>
      </w:r>
      <w:r>
        <w:t xml:space="preserve"> point, where SolarLab reproduces the SCAPS fill-factor and efficiency cliff in direction but the V</w:t>
      </w:r>
      <w:r>
        <w:rPr>
          <w:vertAlign w:val="subscript"/>
        </w:rPr>
        <w:t>oc</w:t>
      </w:r>
      <w:r>
        <w:t xml:space="preserve"> diverges — SCAPS rises as the absorber turns degenerate n-type, while SolarLab dips. Both are discussed in Section 5.</w:t>
      </w:r>
    </w:p>
    <w:p w14:paraId="416EF820">
      <w:pPr>
        <w:pStyle w:val="3"/>
        <w:jc w:val="both"/>
      </w:pPr>
      <w:r>
        <w:rPr>
          <w:b/>
          <w:bCs/>
        </w:rPr>
        <w:t>Open (two sweeps).</w:t>
      </w:r>
      <w:r>
        <w:t xml:space="preserve"> The perovskite-bulk conduction- and valence-band defect-density sweeps (Figures 6 and 7) are flat in SolarLab, whereas SCAPS shows a small response (</w:t>
      </w:r>
      <w:r>
        <w:rPr>
          <w:rFonts w:hint="eastAsia"/>
          <w:lang w:val="en-US" w:eastAsia="zh-CN"/>
        </w:rPr>
        <w:t>-</w:t>
      </w:r>
      <w:r>
        <w:t xml:space="preserve">39 mV and </w:t>
      </w:r>
      <w:r>
        <w:rPr>
          <w:rFonts w:hint="eastAsia"/>
          <w:lang w:val="en-US" w:eastAsia="zh-CN"/>
        </w:rPr>
        <w:t>-</w:t>
      </w:r>
      <w:r>
        <w:t>11 mV respectively). The mechanism is explained in Section 5.</w:t>
      </w:r>
    </w:p>
    <w:p w14:paraId="6B3A20DF">
      <w:pPr>
        <w:pStyle w:val="35"/>
        <w:jc w:val="both"/>
      </w:pPr>
      <w:r>
        <w:drawing>
          <wp:inline distT="0" distB="0" distL="114300" distR="114300">
            <wp:extent cx="5334000" cy="3556000"/>
            <wp:effectExtent l="0" t="0" r="0" b="0"/>
            <wp:docPr id="1" name="Picture" descr="ETL/PVK conduction-band offset (ΔEC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ETL/PVK conduction-band offset (ΔEC)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0369B2">
      <w:pPr>
        <w:pStyle w:val="33"/>
        <w:jc w:val="center"/>
      </w:pPr>
      <w:r>
        <w:rPr>
          <w:rFonts w:hint="default"/>
          <w:lang w:val="en-US"/>
        </w:rPr>
        <w:t xml:space="preserve">Fig. 1 </w:t>
      </w:r>
      <w:r>
        <w:t>ETL/PVK conduction-band offset (ΔE</w:t>
      </w:r>
      <w:r>
        <w:rPr>
          <w:vertAlign w:val="subscript"/>
        </w:rPr>
        <w:t>C</w:t>
      </w:r>
      <w:r>
        <w:t>).</w:t>
      </w:r>
    </w:p>
    <w:p w14:paraId="7086B422">
      <w:pPr>
        <w:pStyle w:val="35"/>
        <w:jc w:val="both"/>
      </w:pPr>
      <w:r>
        <w:drawing>
          <wp:inline distT="0" distB="0" distL="114300" distR="114300">
            <wp:extent cx="5334000" cy="3556000"/>
            <wp:effectExtent l="0" t="0" r="0" b="0"/>
            <wp:docPr id="2" name="Picture" descr="PVK/ETL interface defect density (N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PVK/ETL interface defect density (Nt)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D9C1E7">
      <w:pPr>
        <w:pStyle w:val="33"/>
        <w:jc w:val="center"/>
      </w:pPr>
      <w:r>
        <w:rPr>
          <w:rFonts w:hint="default"/>
          <w:lang w:val="en-US"/>
        </w:rPr>
        <w:t xml:space="preserve">Fig. 2 </w:t>
      </w:r>
      <w:r>
        <w:t>PVK/ETL interface defect density (N</w:t>
      </w:r>
      <w:r>
        <w:rPr>
          <w:vertAlign w:val="subscript"/>
        </w:rPr>
        <w:t>t</w:t>
      </w:r>
      <w:r>
        <w:t>).</w:t>
      </w:r>
    </w:p>
    <w:p w14:paraId="35AF0129">
      <w:pPr>
        <w:pStyle w:val="35"/>
        <w:jc w:val="both"/>
      </w:pPr>
      <w:r>
        <w:drawing>
          <wp:inline distT="0" distB="0" distL="114300" distR="114300">
            <wp:extent cx="5334000" cy="3556000"/>
            <wp:effectExtent l="0" t="0" r="0" b="0"/>
            <wp:docPr id="3" name="Picture" descr="PVK/ETL interface defect level (E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PVK/ETL interface defect level (Et)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BF6D2B">
      <w:pPr>
        <w:pStyle w:val="33"/>
        <w:jc w:val="center"/>
      </w:pPr>
      <w:r>
        <w:rPr>
          <w:rFonts w:hint="default"/>
          <w:lang w:val="en-US"/>
        </w:rPr>
        <w:t xml:space="preserve">Fig. 3 </w:t>
      </w:r>
      <w:r>
        <w:t>PVK/ETL interface defect level (E</w:t>
      </w:r>
      <w:r>
        <w:rPr>
          <w:vertAlign w:val="subscript"/>
        </w:rPr>
        <w:t>t</w:t>
      </w:r>
      <w:r>
        <w:t>).</w:t>
      </w:r>
    </w:p>
    <w:p w14:paraId="7755BEBB">
      <w:pPr>
        <w:pStyle w:val="35"/>
        <w:jc w:val="both"/>
      </w:pPr>
      <w:r>
        <w:drawing>
          <wp:inline distT="0" distB="0" distL="114300" distR="114300">
            <wp:extent cx="5334000" cy="3556000"/>
            <wp:effectExtent l="0" t="0" r="0" b="0"/>
            <wp:docPr id="4" name="Picture" descr="HTL/PVK interface defect density (N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HTL/PVK interface defect density (Nt)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6B434C">
      <w:pPr>
        <w:pStyle w:val="33"/>
        <w:jc w:val="center"/>
      </w:pPr>
      <w:r>
        <w:rPr>
          <w:rFonts w:hint="default"/>
          <w:lang w:val="en-US"/>
        </w:rPr>
        <w:t xml:space="preserve">Fig. 4 </w:t>
      </w:r>
      <w:r>
        <w:t>HTL/PVK interface defect density (N</w:t>
      </w:r>
      <w:r>
        <w:rPr>
          <w:vertAlign w:val="subscript"/>
        </w:rPr>
        <w:t>t</w:t>
      </w:r>
      <w:r>
        <w:t>).</w:t>
      </w:r>
    </w:p>
    <w:p w14:paraId="55531BF8">
      <w:pPr>
        <w:pStyle w:val="35"/>
        <w:jc w:val="both"/>
      </w:pPr>
      <w:r>
        <w:drawing>
          <wp:inline distT="0" distB="0" distL="114300" distR="114300">
            <wp:extent cx="5334000" cy="3556000"/>
            <wp:effectExtent l="0" t="0" r="0" b="0"/>
            <wp:docPr id="5" name="Picture" descr="ETL donor doping (N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ETL donor doping (ND)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023CD5">
      <w:pPr>
        <w:pStyle w:val="33"/>
        <w:jc w:val="center"/>
      </w:pPr>
      <w:r>
        <w:rPr>
          <w:rFonts w:hint="default"/>
          <w:lang w:val="en-US"/>
        </w:rPr>
        <w:t xml:space="preserve">Fig. 5 </w:t>
      </w:r>
      <w:r>
        <w:t>ETL donor doping (N</w:t>
      </w:r>
      <w:r>
        <w:rPr>
          <w:vertAlign w:val="subscript"/>
        </w:rPr>
        <w:t>D</w:t>
      </w:r>
      <w:r>
        <w:t>).</w:t>
      </w:r>
    </w:p>
    <w:p w14:paraId="305336D4">
      <w:pPr>
        <w:pStyle w:val="35"/>
        <w:jc w:val="both"/>
      </w:pPr>
      <w:r>
        <w:drawing>
          <wp:inline distT="0" distB="0" distL="114300" distR="114300">
            <wp:extent cx="5334000" cy="3556000"/>
            <wp:effectExtent l="0" t="0" r="0" b="0"/>
            <wp:docPr id="6" name="Picture" descr="Perovskite conduction-band bulk defect density (N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Perovskite conduction-band bulk defect density (Nt)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563B5D">
      <w:pPr>
        <w:pStyle w:val="33"/>
        <w:jc w:val="center"/>
      </w:pPr>
      <w:r>
        <w:rPr>
          <w:rFonts w:hint="default"/>
          <w:lang w:val="en-US"/>
        </w:rPr>
        <w:t xml:space="preserve">Fig. 6 </w:t>
      </w:r>
      <w:r>
        <w:t>Perovskite conduction-band bulk defect density (N</w:t>
      </w:r>
      <w:r>
        <w:rPr>
          <w:vertAlign w:val="subscript"/>
        </w:rPr>
        <w:t>t</w:t>
      </w:r>
      <w:r>
        <w:t>).</w:t>
      </w:r>
    </w:p>
    <w:p w14:paraId="49EF4E0D">
      <w:pPr>
        <w:pStyle w:val="35"/>
        <w:jc w:val="both"/>
      </w:pPr>
      <w:r>
        <w:drawing>
          <wp:inline distT="0" distB="0" distL="114300" distR="114300">
            <wp:extent cx="5334000" cy="3556000"/>
            <wp:effectExtent l="0" t="0" r="0" b="0"/>
            <wp:docPr id="7" name="Picture" descr="Perovskite valence-band bulk defect density (N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Perovskite valence-band bulk defect density (Nt)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917E15">
      <w:pPr>
        <w:pStyle w:val="33"/>
        <w:jc w:val="center"/>
      </w:pPr>
      <w:r>
        <w:rPr>
          <w:rFonts w:hint="default"/>
          <w:lang w:val="en-US"/>
        </w:rPr>
        <w:t xml:space="preserve">Fig. 7 </w:t>
      </w:r>
      <w:r>
        <w:t>Perovskite valence-band bulk defect density (N</w:t>
      </w:r>
      <w:r>
        <w:rPr>
          <w:vertAlign w:val="subscript"/>
        </w:rPr>
        <w:t>t</w:t>
      </w:r>
      <w:r>
        <w:t>).</w:t>
      </w:r>
    </w:p>
    <w:p w14:paraId="3A3D86BB">
      <w:pPr>
        <w:pStyle w:val="35"/>
        <w:jc w:val="both"/>
      </w:pPr>
      <w:r>
        <w:drawing>
          <wp:inline distT="0" distB="0" distL="114300" distR="114300">
            <wp:extent cx="5334000" cy="3556000"/>
            <wp:effectExtent l="0" t="0" r="0" b="0"/>
            <wp:docPr id="8" name="Picture" descr="Perovskite conduction-band bulk defect level (E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Perovskite conduction-band bulk defect level (Et)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FC7797">
      <w:pPr>
        <w:pStyle w:val="33"/>
        <w:jc w:val="center"/>
      </w:pPr>
      <w:r>
        <w:rPr>
          <w:rFonts w:hint="default"/>
          <w:lang w:val="en-US"/>
        </w:rPr>
        <w:t xml:space="preserve">Fig. 8 </w:t>
      </w:r>
      <w:r>
        <w:t>Perovskite conduction-band bulk defect level (E</w:t>
      </w:r>
      <w:r>
        <w:rPr>
          <w:vertAlign w:val="subscript"/>
        </w:rPr>
        <w:t>t</w:t>
      </w:r>
      <w:r>
        <w:t>).</w:t>
      </w:r>
    </w:p>
    <w:p w14:paraId="4A393C16">
      <w:pPr>
        <w:pStyle w:val="35"/>
        <w:jc w:val="both"/>
      </w:pPr>
      <w:r>
        <w:drawing>
          <wp:inline distT="0" distB="0" distL="114300" distR="114300">
            <wp:extent cx="5334000" cy="3556000"/>
            <wp:effectExtent l="0" t="0" r="0" b="0"/>
            <wp:docPr id="9" name="Picture" descr="Perovskite valence-band bulk defect level (E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Perovskite valence-band bulk defect level (Et)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6F22ED">
      <w:pPr>
        <w:pStyle w:val="33"/>
        <w:jc w:val="center"/>
      </w:pPr>
      <w:r>
        <w:rPr>
          <w:rFonts w:hint="default"/>
          <w:lang w:val="en-US"/>
        </w:rPr>
        <w:t xml:space="preserve">Fig. 9 </w:t>
      </w:r>
      <w:r>
        <w:t>Perovskite valence-band bulk defect level (E</w:t>
      </w:r>
      <w:r>
        <w:rPr>
          <w:vertAlign w:val="subscript"/>
        </w:rPr>
        <w:t>t</w:t>
      </w:r>
      <w:r>
        <w:t>).</w:t>
      </w:r>
    </w:p>
    <w:p w14:paraId="14F71B53">
      <w:pPr>
        <w:pStyle w:val="35"/>
        <w:jc w:val="both"/>
      </w:pPr>
      <w:r>
        <w:drawing>
          <wp:inline distT="0" distB="0" distL="114300" distR="114300">
            <wp:extent cx="5334000" cy="3556000"/>
            <wp:effectExtent l="0" t="0" r="0" b="0"/>
            <wp:docPr id="10" name="Picture" descr="HTL/PVK interface defect level (E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HTL/PVK interface defect level (Et)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44FAD5">
      <w:pPr>
        <w:pStyle w:val="33"/>
        <w:jc w:val="center"/>
      </w:pPr>
      <w:r>
        <w:rPr>
          <w:rFonts w:hint="default"/>
          <w:lang w:val="en-US"/>
        </w:rPr>
        <w:t xml:space="preserve">Fig. 10 </w:t>
      </w:r>
      <w:r>
        <w:t>HTL/PVK interface defect level (E</w:t>
      </w:r>
      <w:r>
        <w:rPr>
          <w:vertAlign w:val="subscript"/>
        </w:rPr>
        <w:t>t</w:t>
      </w:r>
      <w:r>
        <w:t>).</w:t>
      </w:r>
    </w:p>
    <w:p w14:paraId="0345C97A">
      <w:pPr>
        <w:pStyle w:val="35"/>
        <w:jc w:val="both"/>
      </w:pPr>
      <w:r>
        <w:drawing>
          <wp:inline distT="0" distB="0" distL="114300" distR="114300">
            <wp:extent cx="5334000" cy="3556000"/>
            <wp:effectExtent l="0" t="0" r="0" b="0"/>
            <wp:docPr id="11" name="Picture" descr="PVK donor doping (ND,PVK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PVK donor doping (ND,PVK)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729C33">
      <w:pPr>
        <w:pStyle w:val="33"/>
        <w:jc w:val="center"/>
      </w:pPr>
      <w:r>
        <w:rPr>
          <w:rFonts w:hint="default"/>
          <w:lang w:val="en-US"/>
        </w:rPr>
        <w:t xml:space="preserve">Fig. 11 </w:t>
      </w:r>
      <w:r>
        <w:t>PVK donor doping (N</w:t>
      </w:r>
      <w:r>
        <w:rPr>
          <w:vertAlign w:val="subscript"/>
        </w:rPr>
        <w:t>D,PVK</w:t>
      </w:r>
      <w:r>
        <w:t>).</w:t>
      </w:r>
    </w:p>
    <w:p w14:paraId="6FAA46A0">
      <w:pPr>
        <w:pStyle w:val="3"/>
        <w:jc w:val="both"/>
      </w:pPr>
      <w:r>
        <w:t>For at-a-glance reference, Table 2 summarizes the per-sweep outcome.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5"/>
        <w:gridCol w:w="4503"/>
        <w:gridCol w:w="928"/>
      </w:tblGrid>
      <w:tr w14:paraId="69814248">
        <w:tc>
          <w:p w14:paraId="078AFECF">
            <w:pPr>
              <w:pStyle w:val="25"/>
              <w:jc w:val="both"/>
            </w:pPr>
            <w:r>
              <w:t>Sweep</w:t>
            </w:r>
          </w:p>
        </w:tc>
        <w:tc>
          <w:p w14:paraId="178349C6">
            <w:pPr>
              <w:pStyle w:val="25"/>
              <w:jc w:val="both"/>
            </w:pPr>
            <w:r>
              <w:t>SolarLab vs SCAPS</w:t>
            </w:r>
          </w:p>
        </w:tc>
        <w:tc>
          <w:p w14:paraId="17749913">
            <w:pPr>
              <w:pStyle w:val="25"/>
              <w:jc w:val="both"/>
            </w:pPr>
            <w:r>
              <w:t>Status</w:t>
            </w:r>
          </w:p>
        </w:tc>
      </w:tr>
      <w:tr w14:paraId="5403A481">
        <w:tc>
          <w:p w14:paraId="4C9AC9C8">
            <w:pPr>
              <w:pStyle w:val="25"/>
              <w:jc w:val="both"/>
            </w:pPr>
            <w:r>
              <w:t>ETL/PVK conduction-band offset (ΔE</w:t>
            </w:r>
            <w:r>
              <w:rPr>
                <w:vertAlign w:val="subscript"/>
              </w:rPr>
              <w:t>C</w:t>
            </w:r>
            <w:r>
              <w:t>)</w:t>
            </w:r>
          </w:p>
        </w:tc>
        <w:tc>
          <w:p w14:paraId="0A660197">
            <w:pPr>
              <w:pStyle w:val="25"/>
              <w:jc w:val="both"/>
            </w:pPr>
            <w:r>
              <w:t>cliff 0.30 → spike 1.08 V; direction and cliff slope match</w:t>
            </w:r>
          </w:p>
        </w:tc>
        <w:tc>
          <w:p w14:paraId="69B5892C">
            <w:pPr>
              <w:pStyle w:val="25"/>
              <w:jc w:val="both"/>
            </w:pPr>
            <w:r>
              <w:t>match</w:t>
            </w:r>
          </w:p>
        </w:tc>
      </w:tr>
      <w:tr w14:paraId="1E296A1A">
        <w:tc>
          <w:p w14:paraId="7E1AF9FF">
            <w:pPr>
              <w:pStyle w:val="25"/>
              <w:jc w:val="both"/>
            </w:pPr>
            <w:r>
              <w:t>PVK/ETL interface N</w:t>
            </w:r>
            <w:r>
              <w:rPr>
                <w:vertAlign w:val="subscript"/>
              </w:rPr>
              <w:t>t</w:t>
            </w:r>
          </w:p>
        </w:tc>
        <w:tc>
          <w:p w14:paraId="5E5CAFAA">
            <w:pPr>
              <w:pStyle w:val="25"/>
              <w:jc w:val="both"/>
            </w:pPr>
            <w:r>
              <w:t>1.08 → 0.87 V (≈ 75% of SCAPS range)</w:t>
            </w:r>
          </w:p>
        </w:tc>
        <w:tc>
          <w:p w14:paraId="3C6CB574">
            <w:pPr>
              <w:pStyle w:val="25"/>
              <w:jc w:val="both"/>
            </w:pPr>
            <w:r>
              <w:t>match</w:t>
            </w:r>
          </w:p>
        </w:tc>
      </w:tr>
      <w:tr w14:paraId="6CCE387F">
        <w:tc>
          <w:p w14:paraId="32C0C528">
            <w:pPr>
              <w:pStyle w:val="25"/>
              <w:jc w:val="both"/>
            </w:pPr>
            <w:r>
              <w:t>PVK/ETL interface E</w:t>
            </w:r>
            <w:r>
              <w:rPr>
                <w:vertAlign w:val="subscript"/>
              </w:rPr>
              <w:t>t</w:t>
            </w:r>
          </w:p>
        </w:tc>
        <w:tc>
          <w:p w14:paraId="34447CA2">
            <w:pPr>
              <w:pStyle w:val="25"/>
              <w:jc w:val="both"/>
            </w:pPr>
            <w:r>
              <w:t>direction and saturating shape match</w:t>
            </w:r>
          </w:p>
        </w:tc>
        <w:tc>
          <w:p w14:paraId="45DDE52F">
            <w:pPr>
              <w:pStyle w:val="25"/>
              <w:jc w:val="both"/>
            </w:pPr>
            <w:r>
              <w:t>match</w:t>
            </w:r>
          </w:p>
        </w:tc>
      </w:tr>
      <w:tr w14:paraId="09156BF4">
        <w:tc>
          <w:p w14:paraId="65E22132">
            <w:pPr>
              <w:pStyle w:val="25"/>
              <w:jc w:val="both"/>
            </w:pPr>
            <w:r>
              <w:t>HTL/PVK interface N</w:t>
            </w:r>
            <w:r>
              <w:rPr>
                <w:vertAlign w:val="subscript"/>
              </w:rPr>
              <w:t>t</w:t>
            </w:r>
          </w:p>
        </w:tc>
        <w:tc>
          <w:p w14:paraId="7AF7823F">
            <w:pPr>
              <w:pStyle w:val="25"/>
              <w:jc w:val="both"/>
            </w:pPr>
            <w:r>
              <w:t>near-flat (SCAPS near-flat)</w:t>
            </w:r>
          </w:p>
        </w:tc>
        <w:tc>
          <w:p w14:paraId="0417A1BD">
            <w:pPr>
              <w:pStyle w:val="25"/>
              <w:jc w:val="both"/>
            </w:pPr>
            <w:r>
              <w:t>match</w:t>
            </w:r>
          </w:p>
        </w:tc>
      </w:tr>
      <w:tr w14:paraId="7FB2D247">
        <w:tc>
          <w:p w14:paraId="3B9117A7">
            <w:pPr>
              <w:pStyle w:val="25"/>
              <w:jc w:val="both"/>
            </w:pPr>
            <w:r>
              <w:t>PVK-CB / PVK-VB / HTL-PVK E</w:t>
            </w:r>
            <w:r>
              <w:rPr>
                <w:vertAlign w:val="subscript"/>
              </w:rPr>
              <w:t>t</w:t>
            </w:r>
          </w:p>
        </w:tc>
        <w:tc>
          <w:p w14:paraId="409EFB3C">
            <w:pPr>
              <w:pStyle w:val="25"/>
              <w:jc w:val="both"/>
            </w:pPr>
            <w:r>
              <w:t>flat (SCAPS flat)</w:t>
            </w:r>
          </w:p>
        </w:tc>
        <w:tc>
          <w:p w14:paraId="1757EA2C">
            <w:pPr>
              <w:pStyle w:val="25"/>
              <w:jc w:val="both"/>
            </w:pPr>
            <w:r>
              <w:t>match</w:t>
            </w:r>
          </w:p>
        </w:tc>
      </w:tr>
      <w:tr w14:paraId="4BE044B7">
        <w:tc>
          <w:p w14:paraId="7EC562ED">
            <w:pPr>
              <w:pStyle w:val="25"/>
              <w:jc w:val="both"/>
            </w:pPr>
            <w:r>
              <w:t>ETL donor doping N</w:t>
            </w:r>
            <w:r>
              <w:rPr>
                <w:vertAlign w:val="subscript"/>
              </w:rPr>
              <w:t>D</w:t>
            </w:r>
          </w:p>
        </w:tc>
        <w:tc>
          <w:p w14:paraId="4ABFF38A">
            <w:pPr>
              <w:pStyle w:val="25"/>
              <w:jc w:val="both"/>
            </w:pPr>
            <w:r>
              <w:t>high-N</w:t>
            </w:r>
            <w:r>
              <w:rPr>
                <w:vertAlign w:val="subscript"/>
              </w:rPr>
              <w:t>D</w:t>
            </w:r>
            <w:r>
              <w:t xml:space="preserve"> arm correct; low-N</w:t>
            </w:r>
            <w:r>
              <w:rPr>
                <w:vertAlign w:val="subscript"/>
              </w:rPr>
              <w:t>D</w:t>
            </w:r>
            <w:r>
              <w:t xml:space="preserve"> dip</w:t>
            </w:r>
          </w:p>
        </w:tc>
        <w:tc>
          <w:p w14:paraId="3F52CEE9">
            <w:pPr>
              <w:pStyle w:val="25"/>
              <w:jc w:val="both"/>
            </w:pPr>
            <w:r>
              <w:t>partial</w:t>
            </w:r>
          </w:p>
        </w:tc>
      </w:tr>
      <w:tr w14:paraId="47AF3827">
        <w:tc>
          <w:p w14:paraId="2A841D49">
            <w:pPr>
              <w:pStyle w:val="25"/>
              <w:jc w:val="both"/>
            </w:pPr>
            <w:r>
              <w:t>PVK donor doping N</w:t>
            </w:r>
            <w:r>
              <w:rPr>
                <w:vertAlign w:val="subscript"/>
              </w:rPr>
              <w:t>D,PVK</w:t>
            </w:r>
          </w:p>
        </w:tc>
        <w:tc>
          <w:p w14:paraId="2BD76A05">
            <w:pPr>
              <w:pStyle w:val="25"/>
              <w:jc w:val="both"/>
            </w:pPr>
            <w:r>
              <w:t>flat to 10</w:t>
            </w:r>
            <w:r>
              <w:rPr>
                <w:vertAlign w:val="superscript"/>
              </w:rPr>
              <w:t>16</w:t>
            </w:r>
            <w:r>
              <w:t>; FF/J</w:t>
            </w:r>
            <w:r>
              <w:rPr>
                <w:vertAlign w:val="subscript"/>
              </w:rPr>
              <w:t>sc</w:t>
            </w:r>
            <w:r>
              <w:t>/PCE cliff at 10</w:t>
            </w:r>
            <w:r>
              <w:rPr>
                <w:vertAlign w:val="superscript"/>
              </w:rPr>
              <w:t>18</w:t>
            </w:r>
            <w:r>
              <w:t xml:space="preserve"> matches, V</w:t>
            </w:r>
            <w:r>
              <w:rPr>
                <w:vertAlign w:val="subscript"/>
              </w:rPr>
              <w:t>oc</w:t>
            </w:r>
            <w:r>
              <w:t xml:space="preserve"> inverts</w:t>
            </w:r>
          </w:p>
        </w:tc>
        <w:tc>
          <w:p w14:paraId="7A4F6E40">
            <w:pPr>
              <w:pStyle w:val="25"/>
              <w:jc w:val="both"/>
            </w:pPr>
            <w:r>
              <w:t>partial</w:t>
            </w:r>
          </w:p>
        </w:tc>
      </w:tr>
      <w:tr w14:paraId="053B3191">
        <w:tc>
          <w:p w14:paraId="528327FF">
            <w:pPr>
              <w:pStyle w:val="25"/>
              <w:jc w:val="both"/>
            </w:pPr>
            <w:r>
              <w:t>PVK-CB / PVK-VB bulk N</w:t>
            </w:r>
            <w:r>
              <w:rPr>
                <w:vertAlign w:val="subscript"/>
              </w:rPr>
              <w:t>t</w:t>
            </w:r>
          </w:p>
        </w:tc>
        <w:tc>
          <w:p w14:paraId="29E86B02">
            <w:pPr>
              <w:pStyle w:val="25"/>
              <w:jc w:val="both"/>
            </w:pPr>
            <w:r>
              <w:t>flat (SCAPS shows −39 / −11 mV)</w:t>
            </w:r>
          </w:p>
        </w:tc>
        <w:tc>
          <w:p w14:paraId="4C4721B0">
            <w:pPr>
              <w:pStyle w:val="25"/>
              <w:jc w:val="both"/>
            </w:pPr>
            <w:r>
              <w:t>open</w:t>
            </w:r>
          </w:p>
        </w:tc>
      </w:tr>
    </w:tbl>
    <w:p w14:paraId="4515D8C0">
      <w:pPr>
        <w:pStyle w:val="3"/>
        <w:jc w:val="center"/>
        <w:rPr>
          <w:rFonts w:hint="default" w:eastAsiaTheme="minorHAnsi"/>
          <w:lang w:val="en-US" w:eastAsia="zh-CN"/>
        </w:rPr>
      </w:pPr>
      <w:r>
        <w:t xml:space="preserve">Table 2. </w:t>
      </w:r>
      <w:r>
        <w:rPr>
          <w:rFonts w:hint="default"/>
          <w:lang w:val="en-US"/>
        </w:rPr>
        <w:t>S</w:t>
      </w:r>
      <w:r>
        <w:t>weep</w:t>
      </w:r>
      <w:r>
        <w:rPr>
          <w:rFonts w:hint="eastAsia"/>
          <w:lang w:val="en-US" w:eastAsia="zh-CN"/>
        </w:rPr>
        <w:t xml:space="preserve"> outcomes</w:t>
      </w:r>
    </w:p>
    <w:bookmarkEnd w:id="9"/>
    <w:p w14:paraId="5097D0CD">
      <w:pPr>
        <w:pStyle w:val="2"/>
        <w:jc w:val="both"/>
      </w:pPr>
      <w:bookmarkStart w:id="10" w:name="_Toc404014360"/>
      <w:bookmarkStart w:id="11" w:name="analysis-of-the-current-situation"/>
      <w:r>
        <w:t>5. Analysis of the current situation</w:t>
      </w:r>
      <w:bookmarkEnd w:id="10"/>
    </w:p>
    <w:p w14:paraId="700BFE06">
      <w:pPr>
        <w:pStyle w:val="24"/>
        <w:jc w:val="both"/>
      </w:pPr>
      <w:r>
        <w:t xml:space="preserve">The three residual discrepancies are physical model differences, not parameter-fitting errors, and SolarLab’s values remain physically valid in </w:t>
      </w:r>
      <w:r>
        <w:rPr>
          <w:rFonts w:hint="default"/>
          <w:lang w:val="en-US"/>
        </w:rPr>
        <w:t xml:space="preserve">each </w:t>
      </w:r>
      <w:r>
        <w:t>case.</w:t>
      </w:r>
    </w:p>
    <w:p w14:paraId="26F6ABB7">
      <w:pPr>
        <w:pStyle w:val="3"/>
        <w:jc w:val="both"/>
      </w:pPr>
      <w:r>
        <w:rPr>
          <w:b/>
          <w:bCs/>
        </w:rPr>
        <w:t>Base open-circuit voltage (−96 mV).</w:t>
      </w:r>
      <w:r>
        <w:t xml:space="preserve"> With the intrinsic carrier density, recombination coefficients (Auger and radiative), and contact treatment all set identical to SCAPS, SolarLab recombines more at a given voltage: the implied dark saturation current is roughly 37× higher, and kT·ln 37 ≈ 93 mV accounts for almost the entire gap. At the operating point the recombination is dominated by the Auger and radiative channels at the coefficients specified in the </w:t>
      </w:r>
      <w:r>
        <w:rPr>
          <w:rFonts w:hint="default"/>
          <w:lang w:val="en-US"/>
        </w:rPr>
        <w:t xml:space="preserve">workbook </w:t>
      </w:r>
      <w:r>
        <w:t xml:space="preserve">data, compounded by an internal drop of about 135 mV in the quasi-Fermi-level splitting across the heterojunction band offsets. We verified that this is </w:t>
      </w:r>
      <w:r>
        <w:rPr>
          <w:i/>
          <w:iCs/>
        </w:rPr>
        <w:t>not</w:t>
      </w:r>
      <w:r>
        <w:t xml:space="preserve"> an intrinsic-carrier-density, contact-boundary, or interface-calibration error — each was tested and ruled out — but rather a high-injection carrier-statistics and heterojunction-transport difference between the two solvers.</w:t>
      </w:r>
    </w:p>
    <w:p w14:paraId="4E9543F8">
      <w:pPr>
        <w:pStyle w:val="3"/>
        <w:jc w:val="both"/>
      </w:pPr>
      <w:r>
        <w:rPr>
          <w:b/>
          <w:bCs/>
        </w:rPr>
        <w:t>Donor doping (N</w:t>
      </w:r>
      <w:r>
        <w:rPr>
          <w:b/>
          <w:bCs/>
          <w:vertAlign w:val="subscript"/>
        </w:rPr>
        <w:t>D,ETL</w:t>
      </w:r>
      <w:r>
        <w:rPr>
          <w:b/>
          <w:bCs/>
        </w:rPr>
        <w:t>, N</w:t>
      </w:r>
      <w:r>
        <w:rPr>
          <w:b/>
          <w:bCs/>
          <w:vertAlign w:val="subscript"/>
        </w:rPr>
        <w:t>D,PVK</w:t>
      </w:r>
      <w:r>
        <w:rPr>
          <w:b/>
          <w:bCs/>
        </w:rPr>
        <w:t>).</w:t>
      </w:r>
      <w:r>
        <w:t xml:space="preserve"> The high-doping of the ETL sweep rises with N</w:t>
      </w:r>
      <w:r>
        <w:rPr>
          <w:vertAlign w:val="subscript"/>
        </w:rPr>
        <w:t>D</w:t>
      </w:r>
      <w:r>
        <w:t xml:space="preserve"> in the correct direction; the low-doping V</w:t>
      </w:r>
      <w:r>
        <w:rPr>
          <w:vertAlign w:val="subscript"/>
        </w:rPr>
        <w:t>oc</w:t>
      </w:r>
      <w:r>
        <w:t xml:space="preserve"> dip is tied to the contact and built-in-potential treatment at very low ETL doping, not to interface recombination. The dip persists under an independent quasi-steady-state interface solver, confirming it originates in the contact physics rather than in interface sampling. The PVK donor-doping sweep shows the same </w:t>
      </w:r>
      <w:r>
        <w:rPr>
          <w:rFonts w:hint="default"/>
          <w:lang w:val="en-US"/>
        </w:rPr>
        <w:t xml:space="preserve">feature </w:t>
      </w:r>
      <w:r>
        <w:t>at the opposite extreme: through 10</w:t>
      </w:r>
      <w:r>
        <w:rPr>
          <w:vertAlign w:val="superscript"/>
        </w:rPr>
        <w:t>16</w:t>
      </w:r>
      <w:r>
        <w:t xml:space="preserve"> cm</w:t>
      </w:r>
      <w:r>
        <w:rPr>
          <w:vertAlign w:val="superscript"/>
        </w:rPr>
        <w:t>−3</w:t>
      </w:r>
      <w:r>
        <w:t xml:space="preserve"> SolarLab tracks the flat SCAPS response, and at the degenerate 10</w:t>
      </w:r>
      <w:r>
        <w:rPr>
          <w:vertAlign w:val="superscript"/>
        </w:rPr>
        <w:t>18</w:t>
      </w:r>
      <w:r>
        <w:t xml:space="preserve"> cm</w:t>
      </w:r>
      <w:r>
        <w:rPr>
          <w:vertAlign w:val="superscript"/>
        </w:rPr>
        <w:t>−3</w:t>
      </w:r>
      <w:r>
        <w:t xml:space="preserve"> point both solvers reproduce the fill-factor and efficiency collapse, but the V</w:t>
      </w:r>
      <w:r>
        <w:rPr>
          <w:vertAlign w:val="subscript"/>
        </w:rPr>
        <w:t>oc</w:t>
      </w:r>
      <w:r>
        <w:t xml:space="preserve"> moves oppositely — SCAPS rises as the heavily n-type absorber reshapes the built-in field, whereas SolarLab’s high-injection treatment lowers it. As with the ETL</w:t>
      </w:r>
      <w:r>
        <w:rPr>
          <w:rFonts w:hint="default"/>
          <w:lang w:val="en-US"/>
        </w:rPr>
        <w:t xml:space="preserve"> doping</w:t>
      </w:r>
      <w:r>
        <w:t>, this is a contact / built-in-potential and high-injection difference, not a fitting error.</w:t>
      </w:r>
    </w:p>
    <w:p w14:paraId="12EA15A0">
      <w:pPr>
        <w:pStyle w:val="3"/>
        <w:jc w:val="both"/>
      </w:pPr>
      <w:r>
        <w:rPr>
          <w:b/>
          <w:bCs/>
        </w:rPr>
        <w:t>Perovskite bulk defect density (CB / VB).</w:t>
      </w:r>
      <w:r>
        <w:t xml:space="preserve"> SolarLab’s open-circuit voltage is pinned by the interface-recombination, which sits below the voltage at which bulk trap density becomes visible; SCAPS reaches that regime and shows the small −39 mV and −11 mV responses. Raising the ceiling would require reducing total recombination, which conflicts with the interface model the seven matched sweeps depend on — so closing this gap by tuning would regress the matched results.</w:t>
      </w:r>
    </w:p>
    <w:p w14:paraId="508BDB38">
      <w:pPr>
        <w:pStyle w:val="3"/>
        <w:jc w:val="both"/>
      </w:pPr>
      <w:r>
        <w:rPr>
          <w:b/>
          <w:bCs/>
        </w:rPr>
        <w:t>Short-circuit current residual (−2%).</w:t>
      </w:r>
      <w:r>
        <w:t xml:space="preserve"> The remaining 2% of J</w:t>
      </w:r>
      <w:r>
        <w:rPr>
          <w:vertAlign w:val="subscript"/>
        </w:rPr>
        <w:t>sc</w:t>
      </w:r>
      <w:r>
        <w:t xml:space="preserve"> is front-surface reflection. SCAPS treats the optical front as ideal; SolarLab retains the physical reflection. Removing it would improve the absolute match at the cost of physical fidelity, so it is kept.</w:t>
      </w:r>
    </w:p>
    <w:p w14:paraId="3B4C45CE">
      <w:pPr>
        <w:pStyle w:val="3"/>
        <w:jc w:val="both"/>
      </w:pPr>
      <w:r>
        <w:t>Taken together, the open items reflect a consistent principle: where matching SCAPS would require SolarLab to behave less physically, physical correctness is preferred. The present configuration is therefore the honest upper bound of agreement under that constraint.</w:t>
      </w:r>
    </w:p>
    <w:bookmarkEnd w:id="11"/>
    <w:p w14:paraId="2C3D016A">
      <w:pPr>
        <w:pStyle w:val="2"/>
        <w:jc w:val="both"/>
      </w:pPr>
      <w:bookmarkStart w:id="12" w:name="_Toc2073540353"/>
      <w:bookmarkStart w:id="13" w:name="conclusion-and-outlook"/>
      <w:r>
        <w:t>6. Conclusion and outlook</w:t>
      </w:r>
      <w:bookmarkEnd w:id="12"/>
    </w:p>
    <w:p w14:paraId="5CFC15BA">
      <w:pPr>
        <w:pStyle w:val="24"/>
        <w:jc w:val="both"/>
        <w:rPr>
          <w:rFonts w:hint="default" w:eastAsiaTheme="minorHAnsi"/>
          <w:lang w:val="en-US" w:eastAsia="zh-CN"/>
        </w:rPr>
      </w:pPr>
      <w:r>
        <w:t>SolarLab reproduces the SCAPS-1D reference on the</w:t>
      </w:r>
      <w:r>
        <w:rPr>
          <w:rFonts w:hint="eastAsia"/>
          <w:lang w:val="en-US" w:eastAsia="zh-CN"/>
        </w:rPr>
        <w:t xml:space="preserve"> b</w:t>
      </w:r>
      <w:r>
        <w:t xml:space="preserve">ase </w:t>
      </w:r>
      <w:r>
        <w:rPr>
          <w:rFonts w:hint="default"/>
          <w:lang w:val="en-US"/>
        </w:rPr>
        <w:t>m</w:t>
      </w:r>
      <w:r>
        <w:t xml:space="preserve">odel to a degree appropriate for a validated device simulator: short-circuit current within </w:t>
      </w:r>
      <w:r>
        <w:rPr>
          <w:rFonts w:hint="eastAsia"/>
          <w:lang w:val="en-US" w:eastAsia="zh-CN"/>
        </w:rPr>
        <w:t>-</w:t>
      </w:r>
      <w:r>
        <w:t xml:space="preserve">2%, fill factor within </w:t>
      </w:r>
      <w:r>
        <w:rPr>
          <w:rFonts w:hint="eastAsia"/>
          <w:lang w:val="en-US" w:eastAsia="zh-CN"/>
        </w:rPr>
        <w:t>-</w:t>
      </w:r>
      <w:r>
        <w:t>1.4</w:t>
      </w:r>
      <w:r>
        <w:rPr>
          <w:rFonts w:hint="eastAsia"/>
          <w:lang w:val="en-US" w:eastAsia="zh-CN"/>
        </w:rPr>
        <w:t>%</w:t>
      </w:r>
      <w:r>
        <w:t xml:space="preserve">, and </w:t>
      </w:r>
      <w:r>
        <w:rPr>
          <w:rFonts w:hint="eastAsia"/>
          <w:lang w:val="en-US" w:eastAsia="zh-CN"/>
        </w:rPr>
        <w:t>7/11</w:t>
      </w:r>
      <w:r>
        <w:t xml:space="preserve"> parameter-sweep trends matched in direction and shape, with every result satisfying the physical bounds. The remaining discrepancies are characterized rather than incidental — </w:t>
      </w:r>
      <w:r>
        <w:rPr>
          <w:b/>
          <w:bCs/>
        </w:rPr>
        <w:t>the open-circuit-voltage shortfall</w:t>
      </w:r>
      <w:r>
        <w:t xml:space="preserve"> is a </w:t>
      </w:r>
      <w:r>
        <w:rPr>
          <w:b/>
          <w:bCs/>
          <w:color w:val="C00000"/>
        </w:rPr>
        <w:t>heterojunction-transpor</w:t>
      </w:r>
      <w:r>
        <w:rPr>
          <w:b/>
          <w:bCs/>
          <w:color w:val="C00000"/>
        </w:rPr>
        <w:t>t</w:t>
      </w:r>
      <w:r>
        <w:t xml:space="preserve"> and </w:t>
      </w:r>
      <w:r>
        <w:rPr>
          <w:b/>
          <w:bCs/>
          <w:color w:val="C00000"/>
        </w:rPr>
        <w:t>carrier-statistics difference</w:t>
      </w:r>
      <w:r>
        <w:t xml:space="preserve">; the </w:t>
      </w:r>
      <w:r>
        <w:rPr>
          <w:b/>
          <w:bCs/>
        </w:rPr>
        <w:t>donor-doping divergences</w:t>
      </w:r>
      <w:r>
        <w:t xml:space="preserve"> are </w:t>
      </w:r>
      <w:r>
        <w:rPr>
          <w:b/>
          <w:bCs/>
          <w:color w:val="C00000"/>
        </w:rPr>
        <w:t>contact / built-in-potential</w:t>
      </w:r>
      <w:r>
        <w:t xml:space="preserve"> and </w:t>
      </w:r>
      <w:r>
        <w:rPr>
          <w:b/>
          <w:bCs/>
          <w:color w:val="C00000"/>
        </w:rPr>
        <w:t>high-injection physics</w:t>
      </w:r>
      <w:r>
        <w:t xml:space="preserve">; the </w:t>
      </w:r>
      <w:r>
        <w:rPr>
          <w:b/>
          <w:bCs/>
        </w:rPr>
        <w:t>bulk-defect insensitivity</w:t>
      </w:r>
      <w:r>
        <w:t xml:space="preserve"> is the </w:t>
      </w:r>
      <w:r>
        <w:rPr>
          <w:b/>
          <w:bCs/>
          <w:color w:val="C00000"/>
        </w:rPr>
        <w:t>i</w:t>
      </w:r>
      <w:r>
        <w:rPr>
          <w:b/>
          <w:bCs/>
          <w:color w:val="C00000"/>
        </w:rPr>
        <w:t>nterface-recombination ceiling.</w:t>
      </w:r>
      <w:r>
        <w:t xml:space="preserve"> Each has been isolated, and in each case the SolarLab choice is the physically defensible one.</w:t>
      </w:r>
      <w:bookmarkEnd w:id="13"/>
      <w:bookmarkStart w:id="14" w:name="appendix-reproducibility"/>
    </w:p>
    <w:bookmarkEnd w:id="1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mbria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3FEEA8CD"/>
    <w:rsid w:val="5F7BF527"/>
    <w:rsid w:val="6BAE4E3C"/>
    <w:rsid w:val="6BFD1229"/>
    <w:rsid w:val="7BCD4D7D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0">
    <w:name w:val="Default Paragraph Font"/>
    <w:semiHidden/>
    <w:unhideWhenUsed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toc 1"/>
    <w:basedOn w:val="1"/>
    <w:next w:val="1"/>
    <w:uiPriority w:val="0"/>
  </w:style>
  <w:style w:type="paragraph" w:styleId="16">
    <w:name w:val="Subtitle"/>
    <w:basedOn w:val="17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7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8">
    <w:name w:val="footnote text"/>
    <w:basedOn w:val="1"/>
    <w:unhideWhenUsed/>
    <w:qFormat/>
    <w:uiPriority w:val="9"/>
  </w:style>
  <w:style w:type="character" w:styleId="21">
    <w:name w:val="Hyperlink"/>
    <w:basedOn w:val="22"/>
    <w:uiPriority w:val="0"/>
    <w:rPr>
      <w:color w:val="4F81BD" w:themeColor="accent1"/>
    </w:rPr>
  </w:style>
  <w:style w:type="character" w:customStyle="1" w:styleId="22">
    <w:name w:val="Body Text Char"/>
    <w:basedOn w:val="20"/>
    <w:link w:val="3"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2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2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83</Words>
  <Characters>475</Characters>
  <Lines>12</Lines>
  <Paragraphs>8</Paragraphs>
  <TotalTime>5</TotalTime>
  <ScaleCrop>false</ScaleCrop>
  <LinksUpToDate>false</LinksUpToDate>
  <CharactersWithSpaces>583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2026-06-02T19:37:00Z</dcterms:created>
  <dc:creator>shane</dc:creator>
  <cp:lastModifiedBy>shane</cp:lastModifiedBy>
  <dcterms:modified xsi:type="dcterms:W3CDTF">2026-06-03T13:41:04Z</dcterms:modified>
  <dc:title>Validation of the SolarLab Device Simulator against SCAPS-1D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KSOProductBuildVer">
    <vt:lpwstr>2052-12.1.25895.25895</vt:lpwstr>
  </property>
  <property fmtid="{D5CDD505-2E9C-101B-9397-08002B2CF9AE}" pid="4" name="ICV">
    <vt:lpwstr>AF291D38BCDEFC88D4531E6A956D8E71_42</vt:lpwstr>
  </property>
</Properties>
</file>