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fixing the Nd_ETL direction (flat → rising) with all interface directions matched; the residual sweep-</w:t>
      </w:r>
      <w:r>
        <w:rPr>
          <w:iCs/>
          <w:i/>
        </w:rPr>
        <w:t xml:space="preserve">magnitude</w:t>
      </w:r>
      <w:r>
        <w:t xml:space="preserve"> </w:t>
      </w:r>
      <w:r>
        <w:t xml:space="preserve">errors (the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window-sensitive — 52 % closure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1e13–1e18 vs 189 % over the wider SCAPS window, i.e. not pinned —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63 %) are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per-interface scalar is a rate knob that sets absolutes / base, not sweep amplitudes, so closing them needs a change to the interface-state response model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\Delta E_C). Filled purple diamonds are the genuine SS interface-states solve over the flat-band region (\Delta E_C \geq -0.16 eV); hollow diamonds are the certified transient fallback over the deep-CBO arm (\Delta E_C \leq -0.2 eV), where the collapsed junction is unreachable by the SS Newton. The SS curve sits on the transient throughout — CBO is a band-offset effect, so SS \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). Filled purple diamonds are the genuine SS interface-states solve over the flat-band region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r>
          <m:t>0.16</m:t>
        </m:r>
      </m:oMath>
      <w:r>
        <w:t xml:space="preserve"> </w:t>
      </w:r>
      <w:r>
        <w:t xml:space="preserve">eV); hollow diamonds are the certified transient fallback over the deep-CBO arm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eV), where the collapsed junction is unreachable by the SS Newton. The SS curve sits on the transient throughout — CBO is a band-offset effect, so 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(mV)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SS-states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(8+6fb)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 (what it fixes, and what it cannot).</w:t>
      </w:r>
      <w:r>
        <w:t xml:space="preserve"> </w:t>
      </w:r>
      <w:r>
        <w:t xml:space="preserve">The interface-plane channel was over-strong (base -61 mV,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SCAPS, with all interface</w:t>
      </w:r>
      <w:r>
        <w:t xml:space="preserve"> </w:t>
      </w:r>
      <w:r>
        <w:rPr>
          <w:iCs/>
          <w:i/>
        </w:rPr>
        <w:t xml:space="preserve">directions</w:t>
      </w:r>
      <w:r>
        <w:t xml:space="preserve"> </w:t>
      </w:r>
      <w:r>
        <w:t xml:space="preserve">matched (including the Nd_ETL flat-&gt;rising fix). The scalar is homogeneous degree-1 in (v</w:t>
      </w:r>
      <w:r>
        <w:rPr>
          <w:vertAlign w:val="subscript"/>
        </w:rPr>
        <w:t xml:space="preserve">n</w:t>
      </w:r>
      <w:r>
        <w:t xml:space="preserve">, v</w:t>
      </w:r>
      <w:r>
        <w:rPr>
          <w:vertAlign w:val="subscript"/>
        </w:rPr>
        <w:t xml:space="preserve">p</w:t>
      </w:r>
      <w:r>
        <w:t xml:space="preserve">) — a pure</w:t>
      </w:r>
      <w:r>
        <w:t xml:space="preserve"> </w:t>
      </w:r>
      <w:r>
        <w:rPr>
          <w:bCs/>
          <w:b/>
        </w:rPr>
        <w:t xml:space="preserve">rate knob</w:t>
      </w:r>
      <w:r>
        <w:t xml:space="preserve">: it sets the absolutes / base, NOT the sweep</w:t>
      </w:r>
      <w:r>
        <w:t xml:space="preserve"> </w:t>
      </w:r>
      <w:r>
        <w:rPr>
          <w:iCs/>
          <w:i/>
        </w:rPr>
        <w:t xml:space="preserve">amplitudes</w:t>
      </w:r>
      <w:r>
        <w:t xml:space="preserve">. So the residual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errors are structural, not a further-tuning target: 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acutely window-sensitive (52 % closure measured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1e13-1e18, vs the 189 % the figure reports over the wider SCAPS doping window — it is not pinned),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63 %. Reaching those magnitudes needs a change to the interface-state</w:t>
      </w:r>
      <w:r>
        <w:t xml:space="preserve"> </w:t>
      </w:r>
      <w:r>
        <w:rPr>
          <w:iCs/>
          <w:i/>
        </w:rPr>
        <w:t xml:space="preserve">response model</w:t>
      </w:r>
      <w:r>
        <w:t xml:space="preserve">, not the scalar.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2026-06-22T16:42:35Z</dcterms:created>
  <dcterms:modified xsi:type="dcterms:W3CDTF">2026-06-22T16:42:35Z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