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panel, all in the corrected</w:t>
      </w:r>
      <w:r>
        <w:t xml:space="preserve"> </w:t>
      </w:r>
      <w:r>
        <w:t xml:space="preserve">configuration. Grouped by outcome: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(two).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 The</w:t>
      </w:r>
      <w:r>
        <w:t xml:space="preserve"> </w:t>
      </w:r>
      <w:r>
        <w:t xml:space="preserve">perovskite-VB bulk defect-density sweep (Figure 7) now matches SCAPS in</w:t>
      </w:r>
      <w:r>
        <w:t xml:space="preserve"> </w:t>
      </w:r>
      <w:r>
        <w:t xml:space="preserve">direction with 41 % of its range (4.4 of 10.8 mV) after the sweep-wiring fix</w:t>
      </w:r>
      <w:r>
        <w:t xml:space="preserve"> </w:t>
      </w:r>
      <w:r>
        <w:t xml:space="preserve">of Section 5.</w:t>
      </w:r>
    </w:p>
    <w:p>
      <w:pPr>
        <w:pStyle w:val="BodyText"/>
      </w:pPr>
      <w:r>
        <w:rPr>
          <w:bCs/>
          <w:b/>
        </w:rPr>
        <w:t xml:space="preserve">Open (three).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perovskite-CB bulk defect-density sweep</w:t>
      </w:r>
      <w:r>
        <w:t xml:space="preserve"> </w:t>
      </w:r>
      <w:r>
        <w:t xml:space="preserve">(Figure 6) now responds in the correct direction but covers only 11 % of the</w:t>
      </w:r>
      <w:r>
        <w:t xml:space="preserve"> </w:t>
      </w:r>
      <w:r>
        <w:t xml:space="preserve">SCAPS range (4.3 of 38.6 mV). All three open items share one mechanism</w:t>
      </w:r>
      <w:r>
        <w:t xml:space="preserve"> </w:t>
      </w:r>
      <w:r>
        <w:t xml:space="preserve">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4.4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partial (41 %)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4.3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(direction match, 11 %)</w:t>
            </w:r>
          </w:p>
        </w:tc>
      </w:tr>
    </w:tbl>
    <w:p>
      <w:pPr>
        <w:pStyle w:val="BodyText"/>
      </w:pPr>
      <w:r>
        <w:t xml:space="preserve">Table 2. Per-sweep scorecard, corrected configuration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</w:t>
      </w:r>
    </w:p>
    <w:bookmarkEnd w:id="35"/>
    <w:bookmarkStart w:id="38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6" w:name="X3aa82850fded9386ab9dc49f890653e3e89abad"/>
    <w:p>
      <w:pPr>
        <w:pStyle w:val="Heading2"/>
      </w:pPr>
      <w:r>
        <w:t xml:space="preserve">5.x Update: interface-plane closure (2026-06-12)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6"/>
    <w:bookmarkStart w:id="37" w:name="Xd5e3842e0f9d57e66a2ef16c86f591e0c224622"/>
    <w:p>
      <w:pPr>
        <w:pStyle w:val="Heading2"/>
      </w:pPr>
      <w:r>
        <w:t xml:space="preserve">5.y Update: direct steady-state driver (2026-06-12)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7"/>
    <w:bookmarkEnd w:id="38"/>
    <w:bookmarkStart w:id="39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the base operating point agrees with</w:t>
      </w:r>
      <w:r>
        <w:t xml:space="preserve"> </w:t>
      </w:r>
      <w:r>
        <w:t xml:space="preserve">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(from −96 mV), +0.9 pp in FF, and −2 % in J</w:t>
      </w:r>
      <w:r>
        <w:rPr>
          <w:vertAlign w:val="subscript"/>
        </w:rPr>
        <w:t xml:space="preserve">sc</w:t>
      </w:r>
      <w:r>
        <w:t xml:space="preserve">, and</w:t>
      </w:r>
      <w:r>
        <w:t xml:space="preserve"> </w:t>
      </w:r>
      <w:r>
        <w:t xml:space="preserve">six of the eleven parameter-sweep trends match with two partial. The three open</w:t>
      </w:r>
      <w:r>
        <w:t xml:space="preserve"> </w:t>
      </w:r>
      <w:r>
        <w:t xml:space="preserve">trends share a single named mechanism — the interface-recombination channel —</w:t>
      </w:r>
      <w:r>
        <w:t xml:space="preserve"> </w:t>
      </w:r>
      <w:r>
        <w:t xml:space="preserve">rather than being independent defects, and every physically well-posed result</w:t>
      </w:r>
      <w:r>
        <w:t xml:space="preserve"> </w:t>
      </w:r>
      <w:r>
        <w:t xml:space="preserve">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5.x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5.y):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39"/>
    <w:bookmarkStart w:id="40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0"/>
    <w:bookmarkStart w:id="41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2026-06-12T04:58:16Z</dcterms:created>
  <dcterms:modified xsi:type="dcterms:W3CDTF">2026-06-12T04:58:16Z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