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one matches partially, and four remain open; every</w:t>
      </w:r>
      <w:r>
        <w:t xml:space="preserve"> </w:t>
      </w:r>
      <w:r>
        <w:t xml:space="preserve">physically well-posed result satisfies the governing bounds. The open items all</w:t>
      </w:r>
      <w:r>
        <w:t xml:space="preserve"> </w:t>
      </w:r>
      <w:r>
        <w:t xml:space="preserve">trace to one named residual — the interface-recombination channel — and are</w:t>
      </w:r>
      <w:r>
        <w:t xml:space="preserve"> </w:t>
      </w:r>
      <w:r>
        <w:t xml:space="preserve">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panel, all in the corrected</w:t>
      </w:r>
      <w:r>
        <w:t xml:space="preserve"> </w:t>
      </w:r>
      <w:r>
        <w:t xml:space="preserve">configuration. Grouped by outcome: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(one).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</w:t>
      </w:r>
    </w:p>
    <w:p>
      <w:pPr>
        <w:pStyle w:val="BodyText"/>
      </w:pPr>
      <w:r>
        <w:rPr>
          <w:bCs/>
          <w:b/>
        </w:rPr>
        <w:t xml:space="preserve">Open (four).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perovskite-bulk CB and VB defect-density</w:t>
      </w:r>
      <w:r>
        <w:t xml:space="preserve"> </w:t>
      </w:r>
      <w:r>
        <w:t xml:space="preserve">sweeps (Figures 6–7) are flat in SolarLab where SCAPS shows −39 and −11 mV.</w:t>
      </w:r>
      <w:r>
        <w:t xml:space="preserve"> </w:t>
      </w:r>
      <w:r>
        <w:t xml:space="preserve">All four open items share one mechanism 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open (masked)</w:t>
            </w:r>
          </w:p>
        </w:tc>
      </w:tr>
    </w:tbl>
    <w:p>
      <w:pPr>
        <w:pStyle w:val="BodyText"/>
      </w:pPr>
      <w:r>
        <w:t xml:space="preserve">Table 2. Per-sweep scorecard, corrected configuration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</w:t>
      </w:r>
    </w:p>
    <w:bookmarkEnd w:id="35"/>
    <w:bookmarkStart w:id="36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all four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keeps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pinned below the regime where the bulk</w:t>
      </w:r>
      <w:r>
        <w:t xml:space="preserve"> </w:t>
      </w:r>
      <w:r>
        <w:t xml:space="preserve">trap densities become visible (SCAPS’s −39/−11 mV responses), and (iv) damps</w:t>
      </w:r>
      <w:r>
        <w:t xml:space="preserve"> </w:t>
      </w:r>
      <w:r>
        <w:t xml:space="preserve">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End w:id="36"/>
    <w:bookmarkStart w:id="37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the base operating point agrees with</w:t>
      </w:r>
      <w:r>
        <w:t xml:space="preserve"> </w:t>
      </w:r>
      <w:r>
        <w:t xml:space="preserve">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(from −96 mV), +0.9 pp in FF, and −2 % in J</w:t>
      </w:r>
      <w:r>
        <w:rPr>
          <w:vertAlign w:val="subscript"/>
        </w:rPr>
        <w:t xml:space="preserve">sc</w:t>
      </w:r>
      <w:r>
        <w:t xml:space="preserve">, and</w:t>
      </w:r>
      <w:r>
        <w:t xml:space="preserve"> </w:t>
      </w:r>
      <w:r>
        <w:t xml:space="preserve">six of the eleven parameter-sweep trends match with one partial. The four open</w:t>
      </w:r>
      <w:r>
        <w:t xml:space="preserve"> </w:t>
      </w:r>
      <w:r>
        <w:t xml:space="preserve">trends share a single named mechanism — the interface-recombination channel —</w:t>
      </w:r>
      <w:r>
        <w:t xml:space="preserve"> </w:t>
      </w:r>
      <w:r>
        <w:t xml:space="preserve">rather than being independent defects, and every physically well-posed result</w:t>
      </w:r>
      <w:r>
        <w:t xml:space="preserve"> </w:t>
      </w:r>
      <w:r>
        <w:t xml:space="preserve">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natural next step, if closer interface-sweep agreement is required, is to</w:t>
      </w:r>
      <w:r>
        <w:t xml:space="preserve"> </w:t>
      </w:r>
      <w:r>
        <w:t xml:space="preserve">adopt SCAPS’s two-sided interface-recombination formulation; the groundwork</w:t>
      </w:r>
      <w:r>
        <w:t xml:space="preserve"> </w:t>
      </w:r>
      <w:r>
        <w:t xml:space="preserve">(interface-plane projection, flat-band contacts) is already in the codebase</w:t>
      </w:r>
      <w:r>
        <w:t xml:space="preserve"> </w:t>
      </w:r>
      <w:r>
        <w:t xml:space="preserve">behind explicit flags.</w:t>
      </w:r>
    </w:p>
    <w:bookmarkEnd w:id="37"/>
    <w:bookmarkStart w:id="38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38"/>
    <w:bookmarkStart w:id="39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open (masked)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2026-06-10T23:28:21Z</dcterms:created>
  <dcterms:modified xsi:type="dcterms:W3CDTF">2026-06-10T23:28:21Z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