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1.png" ContentType="image/png"/>
  <Override PartName="/word/media/rId54.png" ContentType="image/png"/>
  <Override PartName="/word/media/rId57.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跨越四个世纪的和声：终止式、半音化与古典、爵士、流行音乐的共同轨迹</w:t>
      </w:r>
    </w:p>
    <w:p>
      <w:pPr>
        <w:pStyle w:val="FirstParagraph"/>
      </w:pPr>
      <w:r>
        <w:rPr>
          <w:bCs/>
          <w:b/>
        </w:rPr>
        <w:t xml:space="preserve">Xin (Shane) Miao</w:t>
      </w:r>
    </w:p>
    <w:p>
      <w:pPr>
        <w:pStyle w:val="BodyText"/>
      </w:pPr>
      <w:r>
        <w:t xml:space="preserve">Department of Geography, Geology and Planning, Missouri State University, Springfield, MO 65897, USA. Correspondence: xinmiao@missouristate.edu</w:t>
      </w:r>
    </w:p>
    <w:p>
      <w:pPr>
        <w:pStyle w:val="BodyText"/>
      </w:pPr>
      <w:r>
        <w:rPr>
          <w:bCs/>
          <w:b/>
        </w:rPr>
        <w:t xml:space="preserve">短标题：</w:t>
      </w:r>
      <w:r>
        <w:t xml:space="preserve"> </w:t>
      </w:r>
      <w:r>
        <w:t xml:space="preserve">跨越四个世纪的和声</w:t>
      </w:r>
    </w:p>
    <w:p>
      <w:pPr>
        <w:pStyle w:val="BodyText"/>
      </w:pPr>
      <w:r>
        <w:rPr>
          <w:bCs/>
          <w:b/>
        </w:rPr>
        <w:t xml:space="preserve">关键词：</w:t>
      </w:r>
      <w:r>
        <w:t xml:space="preserve"> </w:t>
      </w:r>
      <w:r>
        <w:t xml:space="preserve">语料库音乐学；和声句法；文化演化；计算音乐分析；音乐地理学；终止式；半音化</w:t>
      </w:r>
    </w:p>
    <w:p>
      <w:pPr>
        <w:pStyle w:val="BodyText"/>
      </w:pPr>
      <w:r>
        <w:rPr>
          <w:bCs/>
          <w:b/>
        </w:rPr>
        <w:t xml:space="preserve">投稿期刊：</w:t>
      </w:r>
      <w:r>
        <w:t xml:space="preserve"> </w:t>
      </w:r>
      <w:r>
        <w:rPr>
          <w:iCs/>
          <w:i/>
        </w:rPr>
        <w:t xml:space="preserve">Humanities and Social Sciences Communications</w:t>
      </w:r>
      <w:r>
        <w:t xml:space="preserve">（Article）。正文约6,500词；5幅图；3个表；补充材料包含9个表、2幅图和1个数据文件。</w:t>
      </w:r>
    </w:p>
    <w:bookmarkStart w:id="20" w:name="摘要"/>
    <w:p>
      <w:pPr>
        <w:pStyle w:val="Heading2"/>
      </w:pPr>
      <w:r>
        <w:t xml:space="preserve">摘要</w:t>
      </w:r>
    </w:p>
    <w:p>
      <w:pPr>
        <w:pStyle w:val="FirstParagraph"/>
      </w:pPr>
      <w:r>
        <w:t xml:space="preserve">和声的变迁迄今多为逐一语料库的研究。本文以同一套测量指标，对3,539部由专家标注的作品进行和弦层面的和声测量，涵盖西方古典音乐（1565–1931）、爵士乐（1925–2007）与英美流行音乐（1949–2002）：七和弦与扩展和弦、非自然音和弦、哪些和弦预备主和弦、根音进行以及和弦熵。在古典音乐内部，七和弦在全部和弦中的占比从2%上升至54%；正格终止在1750–1850年间达到主和弦到达的65%的峰值，随后下降，其变点位于1805年（95% CI 1790–1810），且在对作曲家、语料库和调式进行调整后依然成立。流行音乐在三十年间重演了这一下降过程。依据和声特征对136位作曲家与艺术家进行聚类，得到六个跨越体裁与世纪的群组。在时空框架中，和声在每一曲目库内均随时间变化；在古典音乐和爵士乐内部，地理因素不提供任何额外信息，而在现代艺术家中仅贡献微弱的信号。</w:t>
      </w:r>
    </w:p>
    <w:bookmarkEnd w:id="20"/>
    <w:bookmarkStart w:id="21" w:name="引言"/>
    <w:p>
      <w:pPr>
        <w:pStyle w:val="Heading2"/>
      </w:pPr>
      <w:r>
        <w:t xml:space="preserve">引言</w:t>
      </w:r>
    </w:p>
    <w:p>
      <w:pPr>
        <w:pStyle w:val="FirstParagraph"/>
      </w:pPr>
      <w:r>
        <w:t xml:space="preserve">音乐在变化，而变化留下的痕迹是可以计数的。过去十五年来，语料库研究已将这些痕迹转化为历史：Billboard排行榜中音色与和弦类型的历史</w:t>
      </w:r>
      <w:r>
        <w:rPr>
          <w:vertAlign w:val="superscript"/>
        </w:rPr>
        <w:t xml:space="preserve">2,3</w:t>
      </w:r>
      <w:r>
        <w:t xml:space="preserve">、榜首歌曲旋律复杂度的历史</w:t>
      </w:r>
      <w:r>
        <w:rPr>
          <w:vertAlign w:val="superscript"/>
        </w:rPr>
        <w:t xml:space="preserve">4</w:t>
      </w:r>
      <w:r>
        <w:t xml:space="preserve">、两千份古典录音中调性复杂度的历史</w:t>
      </w:r>
      <w:r>
        <w:rPr>
          <w:vertAlign w:val="superscript"/>
        </w:rPr>
        <w:t xml:space="preserve">5</w:t>
      </w:r>
      <w:r>
        <w:t xml:space="preserve">、1750年前组织西方艺术音乐而在1800年后瓦解的调式的历史</w:t>
      </w:r>
      <w:r>
        <w:rPr>
          <w:vertAlign w:val="superscript"/>
        </w:rPr>
        <w:t xml:space="preserve">6,58</w:t>
      </w:r>
      <w:r>
        <w:t xml:space="preserve">，以及1360年至1940年间作曲家所使用的音级与音程范围不断扩大的历史</w:t>
      </w:r>
      <w:r>
        <w:rPr>
          <w:vertAlign w:val="superscript"/>
        </w:rPr>
        <w:t xml:space="preserve">7,8</w:t>
      </w:r>
      <w:r>
        <w:t xml:space="preserve">。统一这些工作的文化演化框架，将一个曲目库视为作品的群体，其统计属性会漂变、被选择，并偶尔发生跃迁</w:t>
      </w:r>
      <w:r>
        <w:rPr>
          <w:vertAlign w:val="superscript"/>
        </w:rPr>
        <w:t xml:space="preserve">1,10</w:t>
      </w:r>
      <w:r>
        <w:t xml:space="preserve">。</w:t>
      </w:r>
    </w:p>
    <w:p>
      <w:pPr>
        <w:pStyle w:val="BodyText"/>
      </w:pPr>
      <w:r>
        <w:t xml:space="preserve">该文献中仍有三个问题悬而未决，而它们正是本研究要回答的问题。第一是</w:t>
      </w:r>
      <w:r>
        <w:rPr>
          <w:bCs/>
          <w:b/>
        </w:rPr>
        <w:t xml:space="preserve">长期和声变化的形态</w:t>
      </w:r>
      <w:r>
        <w:t xml:space="preserve">。在古典音乐内部，人们普遍同意所谓调性复杂度或和声复杂度以十九世纪为枢轴而上升</w:t>
      </w:r>
      <w:r>
        <w:rPr>
          <w:vertAlign w:val="superscript"/>
        </w:rPr>
        <w:t xml:space="preserve">5,7,8,9</w:t>
      </w:r>
      <w:r>
        <w:t xml:space="preserve">，但证据停留在音级内容、自动推断的标签或音频特征的层面；而音乐理论本身用于描述和声风格的指标——哪些和弦预备主和弦、根音如何进行、下一个和弦的可预测程度——仅在单一作曲家</w:t>
      </w:r>
      <w:r>
        <w:rPr>
          <w:vertAlign w:val="superscript"/>
        </w:rPr>
        <w:t xml:space="preserve">61</w:t>
      </w:r>
      <w:r>
        <w:t xml:space="preserve">、二十余位作曲家</w:t>
      </w:r>
      <w:r>
        <w:rPr>
          <w:vertAlign w:val="superscript"/>
        </w:rPr>
        <w:t xml:space="preserve">11</w:t>
      </w:r>
      <w:r>
        <w:t xml:space="preserve">或单一世纪</w:t>
      </w:r>
      <w:r>
        <w:rPr>
          <w:vertAlign w:val="superscript"/>
        </w:rPr>
        <w:t xml:space="preserve">57</w:t>
      </w:r>
      <w:r>
        <w:t xml:space="preserve">的范围内被报告过，或者——就变格进行与正格进行之比而言——是由音频和弦识别</w:t>
      </w:r>
      <w:r>
        <w:rPr>
          <w:vertAlign w:val="superscript"/>
        </w:rPr>
        <w:t xml:space="preserve">5</w:t>
      </w:r>
      <w:r>
        <w:t xml:space="preserve">和自动分析</w:t>
      </w:r>
      <w:r>
        <w:rPr>
          <w:vertAlign w:val="superscript"/>
        </w:rPr>
        <w:t xml:space="preserve">9</w:t>
      </w:r>
      <w:r>
        <w:t xml:space="preserve">估计得出的，而非来自覆盖全部已标注曲目库的专家标注。第二是</w:t>
      </w:r>
      <w:r>
        <w:rPr>
          <w:bCs/>
          <w:b/>
        </w:rPr>
        <w:t xml:space="preserve">二十世纪究竟简化了还是复杂化了和声</w:t>
      </w:r>
      <w:r>
        <w:t xml:space="preserve">。音频与旋律研究报告流行音乐出现了收缩与简化</w:t>
      </w:r>
      <w:r>
        <w:rPr>
          <w:vertAlign w:val="superscript"/>
        </w:rPr>
        <w:t xml:space="preserve">2,4</w:t>
      </w:r>
      <w:r>
        <w:t xml:space="preserve">，甚至古典音乐与爵士乐亦然</w:t>
      </w:r>
      <w:r>
        <w:rPr>
          <w:vertAlign w:val="superscript"/>
        </w:rPr>
        <w:t xml:space="preserve">40</w:t>
      </w:r>
      <w:r>
        <w:t xml:space="preserve">；音级与和弦内容的研究则发现复杂度大致持平</w:t>
      </w:r>
      <w:r>
        <w:rPr>
          <w:vertAlign w:val="superscript"/>
        </w:rPr>
        <w:t xml:space="preserve">38,39</w:t>
      </w:r>
      <w:r>
        <w:t xml:space="preserve">或稳定</w:t>
      </w:r>
      <w:r>
        <w:rPr>
          <w:vertAlign w:val="superscript"/>
        </w:rPr>
        <w:t xml:space="preserve">16</w:t>
      </w:r>
      <w:r>
        <w:t xml:space="preserve">；且两个阵营将转折点定位在不同的年份（1964、1983和1991年</w:t>
      </w:r>
      <w:r>
        <w:rPr>
          <w:vertAlign w:val="superscript"/>
        </w:rPr>
        <w:t xml:space="preserve">3</w:t>
      </w:r>
      <w:r>
        <w:t xml:space="preserve">，对比1975、1996和2000年</w:t>
      </w:r>
      <w:r>
        <w:rPr>
          <w:vertAlign w:val="superscript"/>
        </w:rPr>
        <w:t xml:space="preserve">4</w:t>
      </w:r>
      <w:r>
        <w:t xml:space="preserve">）。音频与旋律研究无法将和声与音色、编曲和响度区分开，而能够做到这一点的符号研究</w:t>
      </w:r>
      <w:r>
        <w:rPr>
          <w:vertAlign w:val="superscript"/>
        </w:rPr>
        <w:t xml:space="preserve">15,16,39</w:t>
      </w:r>
      <w:r>
        <w:t xml:space="preserve">仅覆盖一个流行语料库的三十年。第三是</w:t>
      </w:r>
      <w:r>
        <w:rPr>
          <w:bCs/>
          <w:b/>
        </w:rPr>
        <w:t xml:space="preserve">古典、爵士与流行音乐是否共享同一和声体系</w:t>
      </w:r>
      <w:r>
        <w:t xml:space="preserve">。理论家们既主张一种”扩展的共性写作”从文艺复兴复调音乐一直延续到比尔·埃文斯（Bill Evans）</w:t>
      </w:r>
      <w:r>
        <w:rPr>
          <w:vertAlign w:val="superscript"/>
        </w:rPr>
        <w:t xml:space="preserve">17</w:t>
      </w:r>
      <w:r>
        <w:t xml:space="preserve">，并可由单一生成语法所刻画</w:t>
      </w:r>
      <w:r>
        <w:rPr>
          <w:vertAlign w:val="superscript"/>
        </w:rPr>
        <w:t xml:space="preserve">18,19</w:t>
      </w:r>
      <w:r>
        <w:t xml:space="preserve">，又主张摇滚乐运作于不同的调性体系，其中基于IV和bVII的收束取代了V→I</w:t>
      </w:r>
      <w:r>
        <w:rPr>
          <w:vertAlign w:val="superscript"/>
        </w:rPr>
        <w:t xml:space="preserve">20–23</w:t>
      </w:r>
      <w:r>
        <w:t xml:space="preserve">。迄今的定量比较均为共时性的</w:t>
      </w:r>
      <w:r>
        <w:rPr>
          <w:vertAlign w:val="superscript"/>
        </w:rPr>
        <w:t xml:space="preserve">24,25</w:t>
      </w:r>
      <w:r>
        <w:t xml:space="preserve">，或仅在流行曲目库之间相互比较</w:t>
      </w:r>
      <w:r>
        <w:rPr>
          <w:vertAlign w:val="superscript"/>
        </w:rPr>
        <w:t xml:space="preserve">16</w:t>
      </w:r>
      <w:r>
        <w:t xml:space="preserve">；尚无研究将三个曲目库的专家和弦层面指标置于同一时间轴上（一项音符网络研究跨越四个世纪的六种体裁，但使用的是启发式的年代与体裁标签，且没有和声标签</w:t>
      </w:r>
      <w:r>
        <w:rPr>
          <w:vertAlign w:val="superscript"/>
        </w:rPr>
        <w:t xml:space="preserve">40</w:t>
      </w:r>
      <w:r>
        <w:t xml:space="preserve">）。实现这一目标的基础设施现已具备</w:t>
      </w:r>
      <w:r>
        <w:rPr>
          <w:vertAlign w:val="superscript"/>
        </w:rPr>
        <w:t xml:space="preserve">26</w:t>
      </w:r>
      <w:r>
        <w:t xml:space="preserve">，但尚未被用于历时性分析。</w:t>
      </w:r>
    </w:p>
    <w:p>
      <w:pPr>
        <w:pStyle w:val="BodyText"/>
      </w:pPr>
      <w:r>
        <w:t xml:space="preserve">第四个问题隐藏在前三个问题之后，且几乎从未针对和声被提出过：</w:t>
      </w:r>
      <w:r>
        <w:rPr>
          <w:bCs/>
          <w:b/>
        </w:rPr>
        <w:t xml:space="preserve">在考虑时间之后，地点是否仍然重要？</w:t>
      </w:r>
      <w:r>
        <w:t xml:space="preserve">音乐社会学与地理学将城市描述为和声创新的场所——比博普的纽约、默西之声的利物浦、山区乡村摇滚的孟菲斯、马斯尔肖尔斯的灵魂乐</w:t>
      </w:r>
      <w:r>
        <w:rPr>
          <w:vertAlign w:val="superscript"/>
        </w:rPr>
        <w:t xml:space="preserve">32,33</w:t>
      </w:r>
      <w:r>
        <w:t xml:space="preserve">——网络研究也将作曲家及其他创作者置于地理空间之中</w:t>
      </w:r>
      <w:r>
        <w:rPr>
          <w:vertAlign w:val="superscript"/>
        </w:rPr>
        <w:t xml:space="preserve">30,31</w:t>
      </w:r>
      <w:r>
        <w:t xml:space="preserve">，但尚无研究将和弦层面的和声与音乐创作所在的城市联系起来。此类检验所需的距离矩阵设计在比较音乐学中已是标准方法</w:t>
      </w:r>
      <w:r>
        <w:rPr>
          <w:vertAlign w:val="superscript"/>
        </w:rPr>
        <w:t xml:space="preserve">35,36,37</w:t>
      </w:r>
      <w:r>
        <w:t xml:space="preserve">，并已表明地理邻近性能够预测不同社会之间的音乐相似性；但它是否能预测共享同一城市与同一年代的作曲家之间的相似性，则尚不可知。一项定量结果指明了方向：地理邻近性在约2000年以前构造了鼓点采样的传播，此后则不再如此</w:t>
      </w:r>
      <w:r>
        <w:rPr>
          <w:vertAlign w:val="superscript"/>
        </w:rPr>
        <w:t xml:space="preserve">34</w:t>
      </w:r>
      <w:r>
        <w:t xml:space="preserve">。</w:t>
      </w:r>
    </w:p>
    <w:p>
      <w:pPr>
        <w:pStyle w:val="BodyText"/>
      </w:pPr>
      <w:r>
        <w:t xml:space="preserve">我们以单一流程处理来自五个语料库的3,539部作品，以回答上述全部四个问题：Distant Listening Corpus与When in Rome元语料库（古典音乐，罗马数字标记，1565–1931）、Weimar Jazz Database（爵士独奏，1925–2007）、McGill Billboard语料库（Hot 100单曲，1958–1991）以及Rock Corpus（1949–2002）。每个语料库中的每个和弦都被转换为同一种表示——相对于局部主音的根音、和弦性质、扩展层级，以及半音化与副属功能的标记——并据此为每部作品计算相同的十六项指标（其中十四项构成和声特征）。这些指标的选择旨在回应三场理论争论：七和弦率、扩展音率与非自然音率对应复杂度之争；由V、IV和bVII预备的主和弦到达的份额，以及V实际进行至I的比率，对应终止句法问题；根音进行类别</w:t>
      </w:r>
      <w:r>
        <w:rPr>
          <w:vertAlign w:val="superscript"/>
        </w:rPr>
        <w:t xml:space="preserve">48</w:t>
      </w:r>
      <w:r>
        <w:t xml:space="preserve">对应共享语法问题；和弦熵与稀疏化词汇量对应可预测性。随后，我们将每位作曲家与艺术家置于一个和声空间中，在不考虑体裁或年代的情况下进行聚类，并将每部作品置于一个时空框架——经度、纬度与年份——之中，用Mantel检验与偏Mantel检验考察在剔除时间距离之后，和声距离是否仍随地理距离变化。</w:t>
      </w:r>
    </w:p>
    <w:p>
      <w:pPr>
        <w:pStyle w:val="BodyText"/>
      </w:pPr>
      <w:r>
        <w:t xml:space="preserve">因此，本文的贡献并不在于长期变化这一问题本身——他人已经提出过</w:t>
      </w:r>
      <w:r>
        <w:rPr>
          <w:vertAlign w:val="superscript"/>
        </w:rPr>
        <w:t xml:space="preserve">6,7,9</w:t>
      </w:r>
      <w:r>
        <w:t xml:space="preserve">——而在于指标、跨度与框架：1565年至2000年间专家和弦层面的终止式、根音进行与熵指标；置于同一时间轴上的三个曲目库；以及首次针对和声本身进行的地理对时间的检验。我们发现正格终止经历了一次有明确可定年转折点的兴起与衰落；流行音乐在三十年内重演了古典音乐的轨迹；136位作曲家与艺术家中存在六个跨体裁的和声群组；在控制时间之后，地理信号在古典音乐与爵士乐内部不存在，在现代艺术家中则较为微弱。我们还发现——并作为一项方法学结果予以报告——标准指标之一的七和弦率在流行音乐的不同标注传统之间不可比较，并展示了哪些结论在这一事实面前依然成立。</w:t>
      </w:r>
    </w:p>
    <w:bookmarkEnd w:id="21"/>
    <w:bookmarkStart w:id="30" w:name="结果"/>
    <w:p>
      <w:pPr>
        <w:pStyle w:val="Heading2"/>
      </w:pPr>
      <w:r>
        <w:t xml:space="preserve">结果</w:t>
      </w:r>
    </w:p>
    <w:bookmarkStart w:id="22" w:name="数据"/>
    <w:p>
      <w:pPr>
        <w:pStyle w:val="Heading3"/>
      </w:pPr>
      <w:r>
        <w:t xml:space="preserve">数据</w:t>
      </w:r>
    </w:p>
    <w:p>
      <w:pPr>
        <w:pStyle w:val="FirstParagraph"/>
      </w:pPr>
      <w:r>
        <w:t xml:space="preserve">在转换为共同表示、合并重复和弦并剔除和弦事件少于八个的作品之后，数据集包含3,539部作品和411,490个和弦事件：2,058部古典作品（1,280部来自Distant Listening Corpus，778部来自When in Rome；1565–1931）、412首爵士独奏（1925–2007）、876首Billboard单曲（1958–1991）和193首Rock Corpus歌曲（1949–2002）。表1列出各语料库；补充表S1给出各时期的作品数以及小调作品的份额，后者从2%（1950年代流行音乐）到64%（早期巴洛克）和65%（1900–49）不等，并将在下文予以控制。所有比率均为各作品数值的平均值；95%区间为按作曲家聚类的自助法区间（以作曲家为单位有放回地重抽样，400次抽取），凡某一作曲家在某一时期占主导地位之处，该区间均宽于作品层面的区间。古典音乐的时期划分遵循惯用的时代边界，爵士与流行音乐则遵循风格时期；改以四分之一世纪和十年为分箱单位（补充图S1）得到相同的轨迹。</w:t>
      </w:r>
    </w:p>
    <w:bookmarkEnd w:id="22"/>
    <w:bookmarkStart w:id="23" w:name="七和弦从例外变为常态"/>
    <w:p>
      <w:pPr>
        <w:pStyle w:val="Heading3"/>
      </w:pPr>
      <w:r>
        <w:t xml:space="preserve">七和弦从例外变为常态</w:t>
      </w:r>
    </w:p>
    <w:p>
      <w:pPr>
        <w:pStyle w:val="FirstParagraph"/>
      </w:pPr>
      <w:r>
        <w:t xml:space="preserve">七和弦是古典语料库中最清晰的单调趋势（图1a）。含有七音的和弦在十六世纪占事件的2%（古迪梅尔（Goudimel）1565年的诗篇配乐几乎没有；蒙特威尔第（Monteverdi）与许茨（Schütz）的使用率为6–7%），十七世纪为15%，晚期巴洛克为27%（科雷利（Corelli）22%，库普兰（Couperin）34%，J. S. 巴赫（J. S. Bach）27%），古典时期为29%，1800–49年为37%，1850–99年为43%（肖邦（Chopin）48%，格里格（Grieg）49%，柴可夫斯基（Tchaikovsky）46%），1900–49年为54%（梅特纳（Medtner）50%，巴托克（Bartók）69%，舒尔霍夫（Schulhoff）96%）。七音以上的扩展音随后跟进：1800年以前占事件的1–3%，早期浪漫主义时期为3%，1850年以后为7%，1900年以后为18%。</w:t>
      </w:r>
    </w:p>
    <w:p>
      <w:pPr>
        <w:pStyle w:val="BodyText"/>
      </w:pPr>
      <w:r>
        <w:t xml:space="preserve">爵士乐始于晚期浪漫主义的终点。摇摆时代的总谱（lead sheet）在63%的和弦上带有七音；到比博普时期（1945–59）这一数字为91%，并此后维持在该水平（1960–74年为90%，1975年以后为88%）。爵士乐中持续变化的是扩展音层，它从摇摆时代的不足1%上升至调式与后博普年代的12%——古典音乐在1850年至1930年间完成的这一步，被压缩到了二十年之内。爵士和弦符号与古典罗马数字标记尚未在同一音乐上相互校准，因此该指标的爵士与古典水平的比较须附带此项说明（见讨论）；曲目库内部的趋势则不依赖于此。</w:t>
      </w:r>
    </w:p>
    <w:p>
      <w:pPr>
        <w:pStyle w:val="BodyText"/>
      </w:pPr>
      <w:r>
        <w:t xml:space="preserve">流行音乐走向相反。在Billboard和弦符号上，七和弦从1950–64年的34%——当时杜沃普、节奏布鲁斯与摇滚乐仍沿用布鲁斯属七和弦——降至1965–74年的29%、1975–84年的27%和1985年以后的24%，而扩展音则从3%上升至8%。这一结果仅针对Billboard语料库陈述，原因见稳健性一节：对于同一批录音，Rock Corpus的罗马数字标记惯例在4.6%的和弦上记录了七音，而Billboard的和弦符号记录为23.5%。</w:t>
      </w:r>
    </w:p>
    <w:bookmarkEnd w:id="23"/>
    <w:bookmarkStart w:id="24" w:name="正格终止的兴起顶峰与衰落"/>
    <w:p>
      <w:pPr>
        <w:pStyle w:val="Heading3"/>
      </w:pPr>
      <w:r>
        <w:t xml:space="preserve">正格终止的兴起、顶峰与衰落</w:t>
      </w:r>
    </w:p>
    <w:p>
      <w:pPr>
        <w:pStyle w:val="FirstParagraph"/>
      </w:pPr>
      <w:r>
        <w:t xml:space="preserve">所有主和弦到达中来自属和弦的份额——这里的正格终止是一种表层统计量，而非Caplin</w:t>
      </w:r>
      <w:r>
        <w:rPr>
          <w:vertAlign w:val="superscript"/>
        </w:rPr>
        <w:t xml:space="preserve">54</w:t>
      </w:r>
      <w:r>
        <w:t xml:space="preserve">或Nobile</w:t>
      </w:r>
      <w:r>
        <w:rPr>
          <w:vertAlign w:val="superscript"/>
        </w:rPr>
        <w:t xml:space="preserve">23</w:t>
      </w:r>
      <w:r>
        <w:t xml:space="preserve">意义上的形式终止——呈现出一道弧线（图1b；表2）。它在文艺复兴样本中为50%，早期巴洛克为54%，晚期巴洛克为63%，古典时期为65%，1800–49年为64%，随后1850年以后为52%，1900年以后为43%。V和弦最终进行至I的概率在1750年以前表现不同，而在此后表现相似：在同样七个时期中依次为70%、68%、63%、66%、65%、55%、51%，因此十八世纪终止式的刻板化在于哪些和弦到达主和弦，而非V之后接什么。来自IV的主和弦到达从文艺复兴时期的22%降至1700年以后的7–10%，并维持在该水平。</w:t>
      </w:r>
    </w:p>
    <w:p>
      <w:pPr>
        <w:pStyle w:val="BodyText"/>
      </w:pPr>
      <w:r>
        <w:t xml:space="preserve">对作品层面序列拟合的单一变点将正格终止的转折定位于</w:t>
      </w:r>
      <w:r>
        <w:rPr>
          <w:bCs/>
          <w:b/>
        </w:rPr>
        <w:t xml:space="preserve">1805年</w:t>
      </w:r>
      <w:r>
        <w:t xml:space="preserve">（95%自助法CI 1790–1810；相对于直线的ΔBIC为+260；第二个断点贡献甚微，ΔBIC +2），将下行五度根音进行的转折定位于1770年（1750–1810；+192）。这道弧线并非各时期恰好抽到哪些作曲家、由哪个语料库标注、或小调作品份额变动所造成的假象：在以作曲家为随机截距、以语料库和调式为固定效应的混合效应模型中，正格终止份额的斜率在1850年以后每世纪变化−0.30（95% CI −0.44至−0.16），V进行至I的概率每世纪变化−0.22（−0.36至−0.09），下行五度份额每世纪变化−0.14（−0.22至−0.06）；调式系数很小（V→I份额为−0.03），且不改变铰链项（补充表S5）。</w:t>
      </w:r>
    </w:p>
    <w:p>
      <w:pPr>
        <w:pStyle w:val="BodyText"/>
      </w:pPr>
      <w:r>
        <w:t xml:space="preserve">流行音乐将这道三个世纪的弧线压缩至三十年。1950–64年，V仍预备47%的主和弦到达，IV为34%；1965–74年两者持平（36%与35%）；到1985年，IV→I（28%）与V→I（34%）之外又加入了bVII→I，后者从2%上升至14%，而V和弦进行至I的比例不足一半（45%，相比1950–64年的70%）。在跨曲目库混合模型（年份×体裁，以艺术家为随机截距）中，V→I份额在流行音乐中每世纪下降0.33，而古典音乐在同一年份区间内仅下降0.02。1950–64年最常见的转换是I→IV，其次是IV→I；到1985年IV→I居首。爵士乐保留了属和弦：V在摇摆时代预备67%的主和弦到达，在比博普时期为65%，且在比博普时期V有85%的情况下进行至I——高于任何一个古典时期——随后在调式年代有所松动（50%与77%）。</w:t>
      </w:r>
    </w:p>
    <w:bookmarkEnd w:id="24"/>
    <w:bookmarkStart w:id="25" w:name="半音化两个世纪持平随后攀升"/>
    <w:p>
      <w:pPr>
        <w:pStyle w:val="Heading3"/>
      </w:pPr>
      <w:r>
        <w:t xml:space="preserve">半音化两个世纪持平，随后攀升</w:t>
      </w:r>
    </w:p>
    <w:p>
      <w:pPr>
        <w:pStyle w:val="FirstParagraph"/>
      </w:pPr>
      <w:r>
        <w:t xml:space="preserve">非自然音和弦——根音或性质不属于局部调性的和弦——在文艺复兴样本中占事件的13%，早期巴洛克为22%，随后从科雷利（Corelli）到舒伯特（Schubert）维持在20%至24%之间，形成长达两百年的平台期（图1c）。它们在1850年以后上升至29%，1900年以后上升至40%。半音根音上的和弦是一个更严格的指标，在文艺复兴时期不足1%，巴洛克为3%，古典与早期浪漫主义时期为6%，晚期浪漫主义时期为8%，1900年以后为15%；经调式调整的混合模型给出该指标在1850年以后每世纪+0.13的斜率变化（CI +0.07至+0.19）。由于在我们的规则下小调包含更多非自然音和弦（非自然音率的小调系数为+0.09），各时期均值部分反映了调式构成；混合模型估计则不受此影响。爵士乐的非自然音率（29–38%）与晚期浪漫主义及二十世纪早期的古典数值相当。流行音乐是语料库中最自然音化的音乐，为10–16%。</w:t>
      </w:r>
    </w:p>
    <w:bookmarkEnd w:id="25"/>
    <w:bookmarkStart w:id="26" w:name="词汇量可预测性与根音进行"/>
    <w:p>
      <w:pPr>
        <w:pStyle w:val="Heading3"/>
      </w:pPr>
      <w:r>
        <w:t xml:space="preserve">词汇量、可预测性与根音进行</w:t>
      </w:r>
    </w:p>
    <w:p>
      <w:pPr>
        <w:pStyle w:val="FirstParagraph"/>
      </w:pPr>
      <w:r>
        <w:t xml:space="preserve">随机抽取四十个和弦所含的不同和弦类型数（稀疏化词汇量）在文艺复兴样本中为9.5，随后从1600年到1900年几乎恒定在13.6–14.6，1900年以后跃升至20.4（图1d）。给定当前和弦时下一和弦的合并熵从文艺复兴时期的2.7比特上升至早期巴洛克的3.5，在古典时期回落至3.1——这是语料库中最可预测的音乐，一项针对部分相同数据的和弦嵌入研究也有同样发现</w:t>
      </w:r>
      <w:r>
        <w:rPr>
          <w:vertAlign w:val="superscript"/>
        </w:rPr>
        <w:t xml:space="preserve">11</w:t>
      </w:r>
      <w:r>
        <w:t xml:space="preserve">——然后经由3.6（1800–49）和4.0（1850–99）攀升至1900年以后的4.5比特。爵士乐的可预测性远高于其和弦词汇量所暗示的水平（2.3–2.6比特），因为ii–V–I循环主导了其转换（ii7→V7与V7→I7各占全部比博普转换的8%）。流行音乐居于两者之间（2.5–3.3比特），从1950年代上升至1975–84年，1985年以后回落至3.0。</w:t>
      </w:r>
    </w:p>
    <w:p>
      <w:pPr>
        <w:pStyle w:val="BodyText"/>
      </w:pPr>
      <w:r>
        <w:t xml:space="preserve">根音进行区分出三种语法（图2）。古典与爵士和声依靠下行五度运行：1600年至1850年间每个古典时期的根音进行中有30–36%为下行五度，爵士乐则为42–56%。1965年以后的摇滚乐依靠级进与三度运行：级进从1950–64年根音进行的19%上升至1965–74年的27%和1975年以后的33–34%，而下行五度从36%降至23%。1850年以后的古典音乐朝同一方向漂移，下行五度从35%降至1900–49年的24%，三度进行从10%翻倍至19%。最常见的和弦讲述了同样的故事：古典时期为I、V7、V、i、IV、ii；比博普时期为I7、V7、ii7、IV7、VI7；1965–74年的摇滚乐为I、IV、V、i、vi，而V7——自1750年起每个古典时期的第一或第二常见和弦——位列第五。</w:t>
      </w:r>
    </w:p>
    <w:bookmarkEnd w:id="26"/>
    <w:bookmarkStart w:id="27" w:name="同一和声图上的作曲家与艺术家"/>
    <w:p>
      <w:pPr>
        <w:pStyle w:val="Heading3"/>
      </w:pPr>
      <w:r>
        <w:t xml:space="preserve">同一和声图上的作曲家与艺术家</w:t>
      </w:r>
    </w:p>
    <w:p>
      <w:pPr>
        <w:pStyle w:val="FirstParagraph"/>
      </w:pPr>
      <w:r>
        <w:t xml:space="preserve">拥有至少五部已定位作品的136位作曲家与艺术家被置于一个十四维的和声空间中（即上述指标，但以主和弦份额和小三和弦性质份额取代对短作品无定义的稀疏化词汇量），并以Ward方法聚为六组，不参照体裁或年代（图3）。这些群组跨越了体裁与年代两者，我们先描述它们，再给出对其加以限定的统计量：</w:t>
      </w:r>
    </w:p>
    <w:p>
      <w:pPr>
        <w:numPr>
          <w:ilvl w:val="0"/>
          <w:numId w:val="1001"/>
        </w:numPr>
        <w:pStyle w:val="Compact"/>
      </w:pPr>
      <w:r>
        <w:rPr>
          <w:bCs/>
          <w:b/>
        </w:rPr>
        <w:t xml:space="preserve">比博普至当代爵士</w:t>
      </w:r>
      <w:r>
        <w:t xml:space="preserve">（40）：从埃尔德里奇（Eldridge）和莱斯特·杨（Lester Young），经查理·帕克（Parker）、柯川（Coltrane）、罗林斯（Rollins）和盖茨（Getz），到洛瓦诺（Lovano）、雷德曼（Redman）和布雷克（Brecker），并包括马文·盖伊（Marvin Gaye），肯尼·罗杰斯（Kenny Rogers）为边缘成员。</w:t>
      </w:r>
    </w:p>
    <w:p>
      <w:pPr>
        <w:numPr>
          <w:ilvl w:val="0"/>
          <w:numId w:val="1001"/>
        </w:numPr>
        <w:pStyle w:val="Compact"/>
      </w:pPr>
      <w:r>
        <w:rPr>
          <w:bCs/>
          <w:b/>
        </w:rPr>
        <w:t xml:space="preserve">半音化与扩展</w:t>
      </w:r>
      <w:r>
        <w:t xml:space="preserve">（8）：巴托克（Bartók）与舒尔霍夫（Schulhoff），加上后博普演奏家多尔菲（Dolphy）、肖特（Shorter）、亨德森（Henderson）、多勒姆（Dorham）和利布曼（Liebman），以及史蒂夫·汪达（Stevie Wonder）。</w:t>
      </w:r>
    </w:p>
    <w:p>
      <w:pPr>
        <w:numPr>
          <w:ilvl w:val="0"/>
          <w:numId w:val="1001"/>
        </w:numPr>
        <w:pStyle w:val="Compact"/>
      </w:pPr>
      <w:r>
        <w:rPr>
          <w:bCs/>
          <w:b/>
        </w:rPr>
        <w:t xml:space="preserve">三和弦、自然音、变格</w:t>
      </w:r>
      <w:r>
        <w:t xml:space="preserve">（24）：古迪梅尔（Goudimel）1565年的诗篇配和声，与披头士（the Beatles）、鲍勃·迪伦（Dylan）、滚石乐队（the Rolling Stones）、海滩男孩（the Beach Boys）、奥蒂斯·雷丁（Otis Redding）、威尔逊·皮克特（Wilson Pickett）、老鹰乐队（the Eagles）、阿巴乐队（Abba）、埃尔顿·约翰（Elton John）和比利·乔尔（Billy Joel）。</w:t>
      </w:r>
    </w:p>
    <w:p>
      <w:pPr>
        <w:numPr>
          <w:ilvl w:val="0"/>
          <w:numId w:val="1001"/>
        </w:numPr>
        <w:pStyle w:val="Compact"/>
      </w:pPr>
      <w:r>
        <w:rPr>
          <w:bCs/>
          <w:b/>
        </w:rPr>
        <w:t xml:space="preserve">bVII与级进驱动的摇滚</w:t>
      </w:r>
      <w:r>
        <w:t xml:space="preserve">（11）：齐柏林飞艇（Led Zeppelin）、大卫·鲍伊（Bowie）、Heart乐队、警察乐队（the Police）、迈克尔·杰克逊（Michael Jackson）、蒂娜·特纳（Tina Turner）、宠物店男孩（the Pet Shop Boys）。</w:t>
      </w:r>
    </w:p>
    <w:p>
      <w:pPr>
        <w:numPr>
          <w:ilvl w:val="0"/>
          <w:numId w:val="1001"/>
        </w:numPr>
        <w:pStyle w:val="Compact"/>
      </w:pPr>
      <w:r>
        <w:rPr>
          <w:bCs/>
          <w:b/>
        </w:rPr>
        <w:t xml:space="preserve">属七和弦自然音</w:t>
      </w:r>
      <w:r>
        <w:t xml:space="preserve">（19）：亨德尔（Händel）与艺术歌曲作曲家赖夏特（Reichardt）和朗（Lang），加上早期爵士（阿姆斯特朗（Armstrong）、多兹（Dodds）、贝谢（Bechet）、古德曼（Goodman））以及摇滚乐与节奏布鲁斯（查克·贝里（Chuck Berry）、猫王埃尔维斯·普雷斯利（Elvis Presley）、詹姆斯·布朗（James Brown）、雷·查尔斯（Ray Charles）、埃弗利兄弟（the Everly Brothers））。</w:t>
      </w:r>
    </w:p>
    <w:p>
      <w:pPr>
        <w:numPr>
          <w:ilvl w:val="0"/>
          <w:numId w:val="1001"/>
        </w:numPr>
        <w:pStyle w:val="Compact"/>
      </w:pPr>
      <w:r>
        <w:rPr>
          <w:bCs/>
          <w:b/>
        </w:rPr>
        <w:t xml:space="preserve">共性写作</w:t>
      </w:r>
      <w:r>
        <w:t xml:space="preserve">（34）：其余所有古典作曲家，从佩里（Peri）、蒙特威尔第（Monteverdi）和科雷利（Corelli）到拉赫玛尼诺夫（Rachmaninoff），芝加哥乐队（Chicago）为唯一的现代成员。</w:t>
      </w:r>
    </w:p>
    <w:p>
      <w:pPr>
        <w:pStyle w:val="FirstParagraph"/>
      </w:pPr>
      <w:r>
        <w:t xml:space="preserve">这些配对正是体裁盲聚类所产生的发现：一部十六世纪的诗篇集与1960年代的流行音乐共享三和弦、自然音根音以及以变格进行为主、属和弦弱化的句法；巴托克的小品与韦恩·肖特（Wayne Shorter）的曲目共享半音根音与扩展和弦；一支1920年代的新奥尔良乐队与一张1950年代的孟菲斯唱片共享建立在I、IV和V之上的属七和弦。和声特征的前两个主成分（方差的35%与26%）分别从三和弦—变格走向七和弦、五度驱动的和声，以及从终止式走向扩展、半音化、级进驱动的和声。该划分具有中等程度的分离性而非截然分明：六组时的轮廓系数为0.26，从四组到八组几乎持平（0.23–0.26），因此选择六组是出于可解释性而非某一准则；k均值重现了该划分（调整兰德指数0.71），且在按作曲家自助法重抽样下保持稳定（平均ARI 0.77，90%区间0.61–0.91）。每位作曲家的隶属置信度（其在重抽样中与原聚类同伴保持同组的份额；存档作曲家表中的</w:t>
      </w:r>
      <w:r>
        <w:rPr>
          <w:rStyle w:val="VerbatimChar"/>
        </w:rPr>
        <w:t xml:space="preserve">conf</w:t>
      </w:r>
      <w:r>
        <w:t xml:space="preserve">）在五个单元上低于0.5：肯尼·罗杰斯（0.24）、比利·乔尔（0.38）、芝加哥乐队（0.40）、Heart乐队（0.46）和桑尼·罗林斯（Sonny Rollins）（0.50）。先前的研究曾在单独的古典语料库中发现作曲家聚类</w:t>
      </w:r>
      <w:r>
        <w:rPr>
          <w:vertAlign w:val="superscript"/>
        </w:rPr>
        <w:t xml:space="preserve">27,28</w:t>
      </w:r>
      <w:r>
        <w:t xml:space="preserve">，并在Billboard语料库内发现若干和声语法</w:t>
      </w:r>
      <w:r>
        <w:rPr>
          <w:vertAlign w:val="superscript"/>
        </w:rPr>
        <w:t xml:space="preserve">29</w:t>
      </w:r>
      <w:r>
        <w:t xml:space="preserve">；此处两者同时出现在一张图上。</w:t>
      </w:r>
    </w:p>
    <w:bookmarkEnd w:id="27"/>
    <w:bookmarkStart w:id="28" w:name="时间之后的地理"/>
    <w:p>
      <w:pPr>
        <w:pStyle w:val="Heading3"/>
      </w:pPr>
      <w:r>
        <w:t xml:space="preserve">时间之后的地理</w:t>
      </w:r>
    </w:p>
    <w:p>
      <w:pPr>
        <w:pStyle w:val="FirstParagraph"/>
      </w:pPr>
      <w:r>
        <w:t xml:space="preserve">每部已定位的作品（3,539部中的3,318部；古典、爵士和Rock Corpus作品的100%，Billboard单曲的75%）被置于其创作所在城市及年份，所用框架将一个世纪等同于1,000公里。在此框架中进行Ward聚类得到25个场景——1720–25年的莱比锡与克滕、1772–1827年的维也纳、1832–1923年的巴黎、1931–75年的纽约、1956–80年的纳什维尔与孟菲斯、1963–91年的伦敦等等——其和声特征列于补充表S3，并展示于随本文附带的交互式时空立方体中（图4）。</w:t>
      </w:r>
    </w:p>
    <w:p>
      <w:pPr>
        <w:pStyle w:val="BodyText"/>
      </w:pPr>
      <w:r>
        <w:t xml:space="preserve">对136位作曲家与艺术家进行的Mantel检验（5,000次置换；表3，对二十项检验进行Benjamini–Hochberg校正）表明，在每一曲目库内部，和声距离都随时间距离变化。在23座城市的39位古典作曲家中，和声与时间相关（r = 0.29，p = 0.014，校正后0.028），而与地理无关（r = 0.01，p = 0.31；给定时间的偏r为−0.03）。49位爵士演奏家呈现相同模式（时间r = 0.23，p = 0.003；地理r = −0.13）。48位流行艺术家显示出显著的时间信号（r = 0.17，p = 0.011）和微弱且不显著的地理信号（r = 0.10，p = 0.14）。然而，将爵士与流行艺术家合并（n = 97）后，得到一个在时间控制和多重校正之下均成立的地理相关（r = 0.18，p = 0.012；给定时间的偏r为0.19，p = 0.008），且在进一步对体裁进行偏相关后依然成立（r = 0.15，p = 0.022）：该信号并非单纯的纽约爵士对比伦敦与洛杉矶摇滚，而体裁内部的检验以48或49个单元无法将其分辨出来。合并全部136个单元后模式反转——地理显著而时间不显著——给定时间的地理偏相关为0.19（p = 0.002）；我们将此归因于大西洋与古典—现代分界恰好重合，而这一解释是检验本身无法证实的。在古典语料库内部的作品层面，一部作品由另一位作曲家创作的和声最近邻在时间上的中位距离为48年（另一位作曲家的随机配对：85年，95%零假设区间84–88，p &lt; 0.001），且有9.9%的情况处于同一城市，相比随机配对的5.2%（p &lt; 0.001），但相比时间距离不更远的随机配对则为9.6%（零假设区间8.8–10.6%，p = 0.28）：同城超额完全由时间邻近性所解释。</w:t>
      </w:r>
    </w:p>
    <w:bookmarkEnd w:id="28"/>
    <w:bookmarkStart w:id="29" w:name="稳健性"/>
    <w:p>
      <w:pPr>
        <w:pStyle w:val="Heading3"/>
      </w:pPr>
      <w:r>
        <w:t xml:space="preserve">稳健性</w:t>
      </w:r>
    </w:p>
    <w:p>
      <w:pPr>
        <w:pStyle w:val="FirstParagraph"/>
      </w:pPr>
      <w:r>
        <w:t xml:space="preserve">主分析之后进行了六项检验（方法；补充表S4–S9）。（1）</w:t>
      </w:r>
      <w:r>
        <w:rPr>
          <w:iCs/>
          <w:i/>
        </w:rPr>
        <w:t xml:space="preserve">记谱法。</w:t>
      </w:r>
      <w:r>
        <w:t xml:space="preserve"> </w:t>
      </w:r>
      <w:r>
        <w:t xml:space="preserve">十二份在Rock Corpus和McGill Billboard中均有转录的录音允许对两种标注传统进行配对比较。在十四项特征指标中，终止式份额、根音进行类别和半音化高度一致（r = 0.85–0.98；配对均值差的95%区间包含零，且小于上文所解释的时期间差异，唯IV→I例外，其区间−0.19至+0.02与时期间差异相当）。七和弦率不一致（4.6%对比23.5%；差值的95% CI为+0.03至+0.35，Wilcoxon p = 0.01），合并熵与词汇量指标亦不一致（r = 0.62–0.69）。因此，流行音乐的七和弦率与扩展音率仅依据Billboard报告，并在作曲家聚类中将Rock Corpus作品的这两项视为未测量；在n = 12的情况下，其他指标上的一致性是可比性的证据，而非等价性的证明。（2）</w:t>
      </w:r>
      <w:r>
        <w:rPr>
          <w:iCs/>
          <w:i/>
        </w:rPr>
        <w:t xml:space="preserve">两个古典语料库。</w:t>
      </w:r>
      <w:r>
        <w:t xml:space="preserve"> </w:t>
      </w:r>
      <w:r>
        <w:t xml:space="preserve">六位作曲家同时出现在Distant Listening Corpus和When in Rome中；在不同作品上，两个语料库给出的七和弦率在六人中有五人相差在0.05以内，半音根音率在六人中有五人相差在0.03以内（补充表S9），而When in Rome在六人中有三人给出更高的V→I份额（巴赫0.65对比0.53，莫扎特在十部作品上0.78对比0.65，贝多芬0.71对比0.65），且是在不同作品上，因此该偏移混合了曲目与标注实践。由于文艺复兴样本仅来自When in Rome，而1900–49年主要来自DCML，这一偏移可能使终止式弧线的两端趋平；混合模型中的语料库固定效应吸收了它，铰链估计依然成立。（3）</w:t>
      </w:r>
      <w:r>
        <w:rPr>
          <w:iCs/>
          <w:i/>
        </w:rPr>
        <w:t xml:space="preserve">作曲家、语料库与调式效应。</w:t>
      </w:r>
      <w:r>
        <w:t xml:space="preserve"> </w:t>
      </w:r>
      <w:r>
        <w:t xml:space="preserve">混合效应模型保留了每一项主要结果。（4）</w:t>
      </w:r>
      <w:r>
        <w:rPr>
          <w:iCs/>
          <w:i/>
        </w:rPr>
        <w:t xml:space="preserve">变点。</w:t>
      </w:r>
      <w:r>
        <w:t xml:space="preserve"> </w:t>
      </w:r>
      <w:r>
        <w:t xml:space="preserve">对于所检验的全部七项古典指标，折线均以ΔBIC 24–260优于直线，但只有正格终止（1805，CI 1790–1810）、下行五度（1770，1750–1810）和V→I解决（1820，1810–1860）具有定位于数十年之内的单一断点，且只有正格终止的第二个断点不带来任何改善（ΔBIC +2）。对于非自然音率、半音根音、七和弦率和和弦熵，单一断点定位不佳（CI跨度100–280年），且双断点模型更优，这与渐进式或多阶段而非间断式的变化相一致。（5）</w:t>
      </w:r>
      <w:r>
        <w:rPr>
          <w:iCs/>
          <w:i/>
        </w:rPr>
        <w:t xml:space="preserve">无和弦小节。</w:t>
      </w:r>
      <w:r>
        <w:t xml:space="preserve"> </w:t>
      </w:r>
      <w:r>
        <w:t xml:space="preserve">将无和弦段落视为进行的中断而非将其桥接，在任何时期均不会使任何终止式或根音进行份额改变超过0.006。（6）</w:t>
      </w:r>
      <w:r>
        <w:rPr>
          <w:iCs/>
          <w:i/>
        </w:rPr>
        <w:t xml:space="preserve">聚类敏感性。</w:t>
      </w:r>
      <w:r>
        <w:t xml:space="preserve"> </w:t>
      </w:r>
      <w:r>
        <w:t xml:space="preserve">移除任何单一指标后六个群组基本保持不变（ARI 0.70–0.98）；移除全部终止式、根音进行或和弦性质指标后一致性降至0.63–0.77；平均连接与完全连接法不能重现这些群组（ARI 0.09与0.25），因此这些群组是对连续空间的Ward/k均值划分，而非离散的类型。</w:t>
      </w:r>
    </w:p>
    <w:bookmarkEnd w:id="29"/>
    <w:bookmarkEnd w:id="30"/>
    <w:bookmarkStart w:id="37" w:name="讨论"/>
    <w:p>
      <w:pPr>
        <w:pStyle w:val="Heading2"/>
      </w:pPr>
      <w:r>
        <w:t xml:space="preserve">讨论</w:t>
      </w:r>
    </w:p>
    <w:bookmarkStart w:id="31" w:name="一条轨迹还是三条轨迹"/>
    <w:p>
      <w:pPr>
        <w:pStyle w:val="Heading3"/>
      </w:pPr>
      <w:r>
        <w:t xml:space="preserve">一条轨迹还是三条轨迹</w:t>
      </w:r>
    </w:p>
    <w:p>
      <w:pPr>
        <w:pStyle w:val="FirstParagraph"/>
      </w:pPr>
      <w:r>
        <w:t xml:space="preserve">与“扩展的共性写作时期”</w:t>
      </w:r>
      <w:r>
        <w:rPr>
          <w:vertAlign w:val="superscript"/>
        </w:rPr>
        <w:t xml:space="preserve">17</w:t>
      </w:r>
      <w:r>
        <w:t xml:space="preserve">相关的各项指标给出了分裂的答案，而这种分裂本身富有信息。在和弦性质上，三个曲目库位于同一条线上：爵士乐起步于晚期浪漫主义音乐止步之处的七和弦比率，其扩展音层在二十年内重演了古典和声在1850年至1930年间完成的变化。在句法上，它们并不在同一条线上。爵士乐保留了下行五度与正格终止——在比博普中，V进行到I的可靠程度高于任何一个古典时期——而1965年之后的流行音乐则放弃了这两者，转向级进、IV→I和bVII→I，这正是摇滚理论家基于分析</w:t>
      </w:r>
      <w:r>
        <w:rPr>
          <w:vertAlign w:val="superscript"/>
        </w:rPr>
        <w:t xml:space="preserve">20–23,53</w:t>
      </w:r>
      <w:r>
        <w:t xml:space="preserve">和较小语料库</w:t>
      </w:r>
      <w:r>
        <w:rPr>
          <w:vertAlign w:val="superscript"/>
        </w:rPr>
        <w:t xml:space="preserve">13,14</w:t>
      </w:r>
      <w:r>
        <w:t xml:space="preserve">所提出的论点。作曲家地图把这一点表达得更为尖锐：在不参考体裁的情况下涌现出的分组，将一部十六世纪的诗篇集与1960年代的流行音乐配在一起，将巴托克（Bartók）与韦恩·肖特（Wayne Shorter）配在一起，将新奥尔良爵士与孟菲斯摇滚配在一起。这一结果与共时性发现相一致，即古典与流行曲目库共享一个核心的和弦进行，而在各自的特征性习语上有所不同</w:t>
      </w:r>
      <w:r>
        <w:rPr>
          <w:vertAlign w:val="superscript"/>
        </w:rPr>
        <w:t xml:space="preserve">24,25</w:t>
      </w:r>
      <w:r>
        <w:t xml:space="preserve">；本研究则加入了时间轴：共享的核心是自然音三和弦与五度进行，而区分各曲目库的习语正是1850年之后和1965年之后变化最快的那些。</w:t>
      </w:r>
    </w:p>
    <w:bookmarkEnd w:id="31"/>
    <w:bookmarkStart w:id="32" w:name="间断还是渐变"/>
    <w:p>
      <w:pPr>
        <w:pStyle w:val="Heading3"/>
      </w:pPr>
      <w:r>
        <w:t xml:space="preserve">间断还是渐变</w:t>
      </w:r>
    </w:p>
    <w:p>
      <w:pPr>
        <w:pStyle w:val="FirstParagraph"/>
      </w:pPr>
      <w:r>
        <w:t xml:space="preserve">古典序列同时包含两种变化，而变点分析将它们区分开来。衡量“使用了哪些和弦”的指标——七和弦比率、和弦熵——平滑地移动：其单一断点无法定位，双断点模型拟合更佳，并且七和弦斜率在1850年之后变陡（每世纪+0.15，CI +0.03至+0.26），却没有转折点。衡量“和弦如何相继”的指标——正格终止、下行五度进行、V到达I的概率——在可以定位到几十年之内的时间点发生转折：终止为1805年（1790–1810），下行五度为1770年（1750–1810），V→I解决为1820年（1810–1860）。这些日期落在音频特征的分期研究所划定的边界处</w:t>
      </w:r>
      <w:r>
        <w:rPr>
          <w:vertAlign w:val="superscript"/>
        </w:rPr>
        <w:t xml:space="preserve">5</w:t>
      </w:r>
      <w:r>
        <w:t xml:space="preserve">，也落在和弦嵌入可预测性达到最大值之处</w:t>
      </w:r>
      <w:r>
        <w:rPr>
          <w:vertAlign w:val="superscript"/>
        </w:rPr>
        <w:t xml:space="preserve">11</w:t>
      </w:r>
      <w:r>
        <w:t xml:space="preserve">。因此，Broze与Shanahan对爵士乐的观察——和弦频率漂移而转换跳跃</w:t>
      </w:r>
      <w:r>
        <w:rPr>
          <w:vertAlign w:val="superscript"/>
        </w:rPr>
        <w:t xml:space="preserve">12</w:t>
      </w:r>
      <w:r>
        <w:t xml:space="preserve">——可推广至古典音乐。对流行音乐而言，相邻时期之间任何指标的最大变化是1950–64年与1965–74年之间V→I的下降和IV→I的上升，这与Mauch等人提出的三次革命中的第一次（1964年）</w:t>
      </w:r>
      <w:r>
        <w:rPr>
          <w:vertAlign w:val="superscript"/>
        </w:rPr>
        <w:t xml:space="preserve">3</w:t>
      </w:r>
      <w:r>
        <w:t xml:space="preserve">相吻合，并早于被定在1975年的旋律简化</w:t>
      </w:r>
      <w:r>
        <w:rPr>
          <w:vertAlign w:val="superscript"/>
        </w:rPr>
        <w:t xml:space="preserve">4</w:t>
      </w:r>
      <w:r>
        <w:t xml:space="preserve">。1975年之后，终止类指标继续沿同一方向移动——bVII→I从1975–84年的12%升至1985年之后的14%，V→I解决从55%降至45%——而和弦词汇量与熵保持平稳，这与1958–1991年美国流行音乐和弦词汇量稳定的发现</w:t>
      </w:r>
      <w:r>
        <w:rPr>
          <w:vertAlign w:val="superscript"/>
        </w:rPr>
        <w:t xml:space="preserve">16</w:t>
      </w:r>
      <w:r>
        <w:t xml:space="preserve">以及1991年之后排行榜上以循环为基础、缺乏图式的和声的报道</w:t>
      </w:r>
      <w:r>
        <w:rPr>
          <w:vertAlign w:val="superscript"/>
        </w:rPr>
        <w:t xml:space="preserve">56</w:t>
      </w:r>
      <w:r>
        <w:t xml:space="preserve">相一致。</w:t>
      </w:r>
    </w:p>
    <w:bookmarkEnd w:id="32"/>
    <w:bookmarkStart w:id="33" w:name="复杂性"/>
    <w:p>
      <w:pPr>
        <w:pStyle w:val="Heading3"/>
      </w:pPr>
      <w:r>
        <w:t xml:space="preserve">复杂性</w:t>
      </w:r>
    </w:p>
    <w:p>
      <w:pPr>
        <w:pStyle w:val="FirstParagraph"/>
      </w:pPr>
      <w:r>
        <w:t xml:space="preserve">二十世纪音乐是否变得更简单，取决于指标与曲目库。古典音乐在我们拥有的每一项指标上（七和弦、扩展音、半音化、词汇量、熵）都变得更复杂，而1850年之后的加速在作曲家、语料库和调式效应下依然稳健；基于音频报道的合唱音乐在1800年之后的平台期</w:t>
      </w:r>
      <w:r>
        <w:rPr>
          <w:vertAlign w:val="superscript"/>
        </w:rPr>
        <w:t xml:space="preserve">55</w:t>
      </w:r>
      <w:r>
        <w:t xml:space="preserve">并未出现在这些专家和弦标注中。爵士乐在词汇量和和弦性质上复杂，在句法上简单；其转换熵（2.3–2.6比特）为语料库中最低，低于文艺复兴样本。流行音乐是自然音的、三和弦的，并且在1965年之后句法松散：其转换熵从2.5比特升至3.3比特，而词汇量保持很小。这是三种不同的特征，单一的“复杂性”轴</w:t>
      </w:r>
      <w:r>
        <w:rPr>
          <w:vertAlign w:val="superscript"/>
        </w:rPr>
        <w:t xml:space="preserve">2,4,40</w:t>
      </w:r>
      <w:r>
        <w:t xml:space="preserve">无法表示它们；需要作曲家空间三个主成分中的两个。发现限制性的音频研究</w:t>
      </w:r>
      <w:r>
        <w:rPr>
          <w:vertAlign w:val="superscript"/>
        </w:rPr>
        <w:t xml:space="preserve">2</w:t>
      </w:r>
      <w:r>
        <w:t xml:space="preserve">与发现稳定性的符号研究</w:t>
      </w:r>
      <w:r>
        <w:rPr>
          <w:vertAlign w:val="superscript"/>
        </w:rPr>
        <w:t xml:space="preserve">16,38</w:t>
      </w:r>
      <w:r>
        <w:t xml:space="preserve">之间的分歧，在我们的数据中，是关于测量的是哪一个成分的分歧。</w:t>
      </w:r>
    </w:p>
    <w:bookmarkEnd w:id="33"/>
    <w:bookmarkStart w:id="34" w:name="地理"/>
    <w:p>
      <w:pPr>
        <w:pStyle w:val="Heading3"/>
      </w:pPr>
      <w:r>
        <w:t xml:space="preserve">地理</w:t>
      </w:r>
    </w:p>
    <w:p>
      <w:pPr>
        <w:pStyle w:val="FirstParagraph"/>
      </w:pPr>
      <w:r>
        <w:t xml:space="preserve">在古典音乐内部和爵士乐内部，和声随时间而非地点变化：共享同一城市和同一年代的作曲家，并不比仅共享年代的作曲家更为相似，而和声上最近邻之间的同城超额在时间匹配的零模型下消失。有两种解读可供选择。其一是这些曲目库中的和声风格传播得比人更快：乐谱、简谱（lead sheet）和录音四处流通，1890年身在卑尔根的作曲家写的是1890年的和声，而不是卑尔根的和声。其二是地理信号存在于曲目库内部检验无法触及的尺度上。我们的城市大多位于两个地区，因此这些检验问的是伦敦是否不同于维也纳、孟菲斯是否不同于洛杉矶，而不是欧洲是否不同于北美；合并检验确实提出了后一个问题，发现地理显著而时间不显著，但无法将大西洋两岸的差异与古典–现代的分野区分开来。唯一的阳性结果介于两者之间：在97位爵士与流行音乐家合在一起的样本中，去除时间和体裁之后，地理距离仍可预测和声距离（偏r = 0.15，p = 0.02），而48个单元的流行音乐检验显示出同一方向的信号，但未达到显著（r = 0.10）。驱动这一结果的现代场景——纳什维尔、孟菲斯和梅肯对伦敦和洛杉矶，纽约爵士对西海岸——正是场景社会学所描述的那些</w:t>
      </w:r>
      <w:r>
        <w:rPr>
          <w:vertAlign w:val="superscript"/>
        </w:rPr>
        <w:t xml:space="preserve">32,33</w:t>
      </w:r>
      <w:r>
        <w:t xml:space="preserve">，而2000年之后抽样中地理结构随时间减弱的发现</w:t>
      </w:r>
      <w:r>
        <w:rPr>
          <w:vertAlign w:val="superscript"/>
        </w:rPr>
        <w:t xml:space="preserve">34</w:t>
      </w:r>
      <w:r>
        <w:t xml:space="preserve">和当代排行榜中的区域结构</w:t>
      </w:r>
      <w:r>
        <w:rPr>
          <w:vertAlign w:val="superscript"/>
        </w:rPr>
        <w:t xml:space="preserve">37</w:t>
      </w:r>
      <w:r>
        <w:t xml:space="preserve">，提示了下一步应当关注之处：更细的时间粒度，以及录音尚未自由流通之前的那几十年。音乐录影带的国家层面扩散</w:t>
      </w:r>
      <w:r>
        <w:rPr>
          <w:vertAlign w:val="superscript"/>
        </w:rPr>
        <w:t xml:space="preserve">60</w:t>
      </w:r>
      <w:r>
        <w:t xml:space="preserve">和歌曲特征的社会层面比较</w:t>
      </w:r>
      <w:r>
        <w:rPr>
          <w:vertAlign w:val="superscript"/>
        </w:rPr>
        <w:t xml:space="preserve">36</w:t>
      </w:r>
      <w:r>
        <w:t xml:space="preserve">在比我们更大的尺度上发现了地理结构；本研究的结果表明，在同一地区内城市的尺度上，一旦知道了日期，和声风格便不再是地方性的。不同大陆城市之间的地理距离以及仅抽取两个地区的样本，也限制了合并检验的效力，因此我们不对其作进一步解释。</w:t>
      </w:r>
    </w:p>
    <w:bookmarkEnd w:id="34"/>
    <w:bookmarkStart w:id="35" w:name="局限"/>
    <w:p>
      <w:pPr>
        <w:pStyle w:val="Heading3"/>
      </w:pPr>
      <w:r>
        <w:t xml:space="preserve">局限</w:t>
      </w:r>
    </w:p>
    <w:p>
      <w:pPr>
        <w:pStyle w:val="FirstParagraph"/>
      </w:pPr>
      <w:r>
        <w:t xml:space="preserve">四项局限界定了这些论断。第一，各语料库的标注方式不同。配对检验表明，终止、根音进行和半音化指标在从罗马数字标记转为和弦符号时得以保留，而七和弦比率则不能；我们已处理了这一失效的指标，且两个古典语料库在共有作曲家上一致，但爵士和弦符号与古典罗马数字标记从未在同一音乐上进行过比较（爵士中的“I7”是一个记谱的和弦，而分析勃拉姆斯（Brahms）的学者可能将其并入普通的I），而且各国的标注传统对半音化和弦的标记方式不同</w:t>
      </w:r>
      <w:r>
        <w:rPr>
          <w:vertAlign w:val="superscript"/>
        </w:rPr>
        <w:t xml:space="preserve">50</w:t>
      </w:r>
      <w:r>
        <w:t xml:space="preserve">。曲目库内部的趋势是较为可靠的发现；跨曲目库的和弦性质指标水平则最不可靠。第二，抽样不均匀且偏向经典：1700–49年有739首作品，其中561首出自巴赫（Bach）；1900–49年有92首作品，出自十一位作曲家；Billboard是Hot 100，Rock Corpus是偏重1960年代的评论家经典，Weimar数据库是为转录而挑选的独奏。将每位作曲家在每个时期限制为三十首作品并重抽样（补充图S2），没有使任何时期份额移动超过0.04，也没有使任何熵移动超过0.06比特，最大的变动出现在早期巴洛克，但这些语料库无法告诉我们未被经典化的音乐的情况；众包资源</w:t>
      </w:r>
      <w:r>
        <w:rPr>
          <w:vertAlign w:val="superscript"/>
        </w:rPr>
        <w:t xml:space="preserve">59</w:t>
      </w:r>
      <w:r>
        <w:t xml:space="preserve">可以扩展流行音乐一侧，代价是标注质量。第三，调式构成随历史而变化</w:t>
      </w:r>
      <w:r>
        <w:rPr>
          <w:vertAlign w:val="superscript"/>
        </w:rPr>
        <w:t xml:space="preserve">51</w:t>
      </w:r>
      <w:r>
        <w:t xml:space="preserve">，而我们的半音根音规则在小调中将某些和弦视为半音化的；混合模型对调式进行了调整，铰链估计不变，但表2中的时期均值未按调式分层。此处的爵士和声是即兴独奏之下的简谱（lead sheet）</w:t>
      </w:r>
      <w:r>
        <w:rPr>
          <w:vertAlign w:val="superscript"/>
        </w:rPr>
        <w:t xml:space="preserve">47</w:t>
      </w:r>
      <w:r>
        <w:t xml:space="preserve">，而非实际演奏的声部排列，日期为录音日期。第四，地点是音乐创作所在的城市，全部412条音乐家条目均经传记来源核实（补充数据1），但分辨率为城市级，且对于15%的现代作品，来源无法确定相关年份所在的城市（标记为低置信度）；地理零结果应被理解为该分辨率下、在这些地区之内的零结果。共进行了二十次Mantel检验、十个混合模型和十四次配对检验；我们报告Mantel族的Benjamini–Hochberg校正，在该校正下曲目库内部的时间相关和现代的地理相关均得以保留，并将混合模型和配对检验视为对方向已预先确定的效应的描述性检验。</w:t>
      </w:r>
    </w:p>
    <w:bookmarkEnd w:id="35"/>
    <w:bookmarkStart w:id="36" w:name="这一结果对和声史意味着什么"/>
    <w:p>
      <w:pPr>
        <w:pStyle w:val="Heading3"/>
      </w:pPr>
      <w:r>
        <w:t xml:space="preserve">这一结果对和声史意味着什么</w:t>
      </w:r>
    </w:p>
    <w:p>
      <w:pPr>
        <w:pStyle w:val="FirstParagraph"/>
      </w:pPr>
      <w:r>
        <w:t xml:space="preserve">正格终止的弧线是核心发现。属和弦对主和弦的掌控并非调性音乐的固定属性，而是一项统计量：它从1600年前后每两次主和弦到达中占一次，上升到1800年前后的三分之二，又回落到1920年的五分之二，以及1980年代流行音乐中的三分之一。其机制各不相同——艺术音乐中的半音替代与扩展调性，摇滚中的调式与变格句法——并且在其他指标（根音进行、熵）上，二十世纪与十六世纪相去甚远。但在界定共性写作的那一项指标上，十六世纪与二十世纪彼此之间的相似程度，超过了它们各自与十八世纪的相似程度。正是在这个意义上，共性写作时期是一个时期。</w:t>
      </w:r>
    </w:p>
    <w:bookmarkEnd w:id="36"/>
    <w:bookmarkEnd w:id="37"/>
    <w:bookmarkStart w:id="38" w:name="方法"/>
    <w:p>
      <w:pPr>
        <w:pStyle w:val="Heading2"/>
      </w:pPr>
      <w:r>
        <w:t xml:space="preserve">方法</w:t>
      </w:r>
    </w:p>
    <w:p>
      <w:pPr>
        <w:pStyle w:val="FirstParagraph"/>
      </w:pPr>
      <w:r>
        <w:rPr>
          <w:bCs/>
          <w:b/>
        </w:rPr>
        <w:t xml:space="preserve">语料库。</w:t>
      </w:r>
      <w:r>
        <w:t xml:space="preserve"> </w:t>
      </w:r>
      <w:r>
        <w:t xml:space="preserve">本研究使用了五个专家标注的和弦语料库（表1）。</w:t>
      </w:r>
      <w:r>
        <w:rPr>
          <w:iCs/>
          <w:i/>
        </w:rPr>
        <w:t xml:space="preserve">Distant Listening Corpus</w:t>
      </w:r>
      <w:r>
        <w:t xml:space="preserve">（DCML，EPFL）提供了DCML标准</w:t>
      </w:r>
      <w:r>
        <w:rPr>
          <w:vertAlign w:val="superscript"/>
        </w:rPr>
        <w:t xml:space="preserve">41–43</w:t>
      </w:r>
      <w:r>
        <w:t xml:space="preserve">的罗马数字和声标注，涵盖从蒙特威尔第（Monteverdi，1590）到舒尔霍夫（Schulhoff，1931）的1,280个乐章和歌曲，创作日期取自语料库元数据。</w:t>
      </w:r>
      <w:r>
        <w:rPr>
          <w:iCs/>
          <w:i/>
        </w:rPr>
        <w:t xml:space="preserve">When in Rome</w:t>
      </w:r>
      <w:r>
        <w:t xml:space="preserve">元语料库</w:t>
      </w:r>
      <w:r>
        <w:rPr>
          <w:vertAlign w:val="superscript"/>
        </w:rPr>
        <w:t xml:space="preserve">44</w:t>
      </w:r>
      <w:r>
        <w:t xml:space="preserve">提供了DCML中未包含作品的另外778份罗马数字分析（巴赫（Bach）众赞歌、古迪梅尔（Goudimel）诗篇配乐、DCML之外的蒙特威尔第牧歌、海顿（Haydn）四重奏、其余的贝多芬（Beethoven）奏鸣曲以及约180首艺术歌曲；重复作品按作曲家和作品识别，并保留DCML的分析），以music21读取；日期按作品号或曲集分配，精确到约五年。</w:t>
      </w:r>
      <w:r>
        <w:rPr>
          <w:iCs/>
          <w:i/>
        </w:rPr>
        <w:t xml:space="preserve">Weimar Jazz Database</w:t>
      </w:r>
      <w:r>
        <w:rPr>
          <w:vertAlign w:val="superscript"/>
        </w:rPr>
        <w:t xml:space="preserve">46,47</w:t>
      </w:r>
      <w:r>
        <w:t xml:space="preserve">提供了412首转录独奏（1925–2007）的简谱（lead sheet）和弦序列、调性和录音年份；这些和弦是曲调的和弦，而非实际演奏的声部排列。</w:t>
      </w:r>
      <w:r>
        <w:rPr>
          <w:iCs/>
          <w:i/>
        </w:rPr>
        <w:t xml:space="preserve">McGill Billboard</w:t>
      </w:r>
      <w:r>
        <w:t xml:space="preserve">语料库</w:t>
      </w:r>
      <w:r>
        <w:rPr>
          <w:vertAlign w:val="superscript"/>
        </w:rPr>
        <w:t xml:space="preserve">45</w:t>
      </w:r>
      <w:r>
        <w:t xml:space="preserve">提供了876首Hot 100单曲（1958–1991）的Harte和弦符号和主音，按进入排行榜的时间定年；</w:t>
      </w:r>
      <w:r>
        <w:rPr>
          <w:iCs/>
          <w:i/>
        </w:rPr>
        <w:t xml:space="preserve">Rock Corpus</w:t>
      </w:r>
      <w:r>
        <w:rPr>
          <w:vertAlign w:val="superscript"/>
        </w:rPr>
        <w:t xml:space="preserve">14</w:t>
      </w:r>
      <w:r>
        <w:t xml:space="preserve">提供了来自《滚石》500首（1949–2002）中193首歌曲的罗马数字分析，按发行年份定年。三个现代语料库取自ChoCo集成</w:t>
      </w:r>
      <w:r>
        <w:rPr>
          <w:vertAlign w:val="superscript"/>
        </w:rPr>
        <w:t xml:space="preserve">26</w:t>
      </w:r>
      <w:r>
        <w:t xml:space="preserve">。语料库是标注实践的单位，在混合模型中作为固定效应纳入。</w:t>
      </w:r>
    </w:p>
    <w:p>
      <w:pPr>
        <w:pStyle w:val="BodyText"/>
      </w:pPr>
      <w:r>
        <w:rPr>
          <w:bCs/>
          <w:b/>
        </w:rPr>
        <w:t xml:space="preserve">统一的和弦表示。</w:t>
      </w:r>
      <w:r>
        <w:t xml:space="preserve"> </w:t>
      </w:r>
      <w:r>
        <w:t xml:space="preserve">每个和弦标签都被转换为同一种事件：一个以相对于局部主音的音级表示的根音（罗马数字语料库取标注的调；Billboard取标注的主音；Weimar取简谱（lead sheet）的调，并根据主音上和弦的性质推断调式）；一种性质（大、小、减、增、挂留、强力、增六、其他）；一个扩展音层级（三和弦、加六音、七和弦、九音及以上）；一种七音类型；半音根音（不在大调音阶内，或在小调中不在和声小调音集内）、附加功能和转位的标志；来源给出时值时以拍为单位的时值；以及DCML标注给出时的终止标签。小调主音歌曲相对于其自身主音编码（平行编码），这是de Clercq推荐的对流行音乐而言两害相权取其轻的选择</w:t>
      </w:r>
      <w:r>
        <w:rPr>
          <w:vertAlign w:val="superscript"/>
        </w:rPr>
        <w:t xml:space="preserve">49</w:t>
      </w:r>
      <w:r>
        <w:t xml:space="preserve">。连续的相同标签被合并，因为流行语料库逐小节重复和弦；此后每首作品在每次和声变化时贡献一个事件。合并后少于八个事件的作品被剔除（剩余3,539首）。标注为无和弦的区段被排除在和弦计数之外，并在主分析中在转换计数时被跨越；严格的替代方案在“稳健性”下报告。</w:t>
      </w:r>
    </w:p>
    <w:p>
      <w:pPr>
        <w:pStyle w:val="BodyText"/>
      </w:pPr>
      <w:r>
        <w:rPr>
          <w:bCs/>
          <w:b/>
        </w:rPr>
        <w:t xml:space="preserve">指标。</w:t>
      </w:r>
      <w:r>
        <w:t xml:space="preserve"> </w:t>
      </w:r>
      <w:r>
        <w:t xml:space="preserve">每首作品计算十六项指标；其中十四项构成用于聚类和距离计算的和声特征。</w:t>
      </w:r>
      <w:r>
        <w:rPr>
          <w:iCs/>
          <w:i/>
        </w:rPr>
        <w:t xml:space="preserve">和弦性质：</w:t>
      </w:r>
      <w:r>
        <w:t xml:space="preserve">七和弦比率（含七音或更高扩展音的事件份额）、扩展音比率（九音及以上）、非自然音比率（根音或性质在调外）、半音根音比率、小和弦性质份额和主和弦份额。</w:t>
      </w:r>
      <w:r>
        <w:rPr>
          <w:iCs/>
          <w:i/>
        </w:rPr>
        <w:t xml:space="preserve">终止句法：</w:t>
      </w:r>
      <w:r>
        <w:t xml:space="preserve">到达主三和弦的次数中来自第5级（V→I份额）、来自第4级（IV→I）和来自降7级（bVII→I）的份额，以及第5级上的和弦被第1级上的和弦接续的概率（V解决到I）。</w:t>
      </w:r>
      <w:r>
        <w:rPr>
          <w:iCs/>
          <w:i/>
        </w:rPr>
        <w:t xml:space="preserve">根音进行：</w:t>
      </w:r>
      <w:r>
        <w:t xml:space="preserve">遵循Meeùs的和声向量</w:t>
      </w:r>
      <w:r>
        <w:rPr>
          <w:vertAlign w:val="superscript"/>
        </w:rPr>
        <w:t xml:space="preserve">48</w:t>
      </w:r>
      <w:r>
        <w:t xml:space="preserve">，每次根音移动被归类为下行五度、上行五度、级进（任一方向一或两个半音）、三度、三全音或重复，并取下行五度、级进和三度的份额；将和弦与移动折叠为少数几个功能类别，是比较具有不同和弦词汇量的语料库在信息论上有据可依的方法</w:t>
      </w:r>
      <w:r>
        <w:rPr>
          <w:vertAlign w:val="superscript"/>
        </w:rPr>
        <w:t xml:space="preserve">52</w:t>
      </w:r>
      <w:r>
        <w:t xml:space="preserve">。</w:t>
      </w:r>
      <w:r>
        <w:rPr>
          <w:iCs/>
          <w:i/>
        </w:rPr>
        <w:t xml:space="preserve">可预测性：</w:t>
      </w:r>
      <w:r>
        <w:t xml:space="preserve">作品和弦标签分布的Shannon熵。这十四项构成和声特征。另有两项指标在时期表中报告但不用于聚类，因为它们对短作品无定义：随机抽取40个事件时不同标签的期望数量（稀疏化词汇量，抽取30次）以及在有时值时的每和弦拍数。所有指标均为组内作品的均值，使长作品不致占主导地位；95%区间为对作曲家的百分位自助法区间（按作曲家聚类的自助法，400次重抽样），使561首巴赫作品只算作一位作曲家的证据；作品层面的区间较窄，在代码库中给出。两项合并指标——给定当前和弦时下一和弦的熵，以及合并的和弦分布——按时期从该时期的所有转换中计算。</w:t>
      </w:r>
    </w:p>
    <w:p>
      <w:pPr>
        <w:pStyle w:val="BodyText"/>
      </w:pPr>
      <w:r>
        <w:rPr>
          <w:bCs/>
          <w:b/>
        </w:rPr>
        <w:t xml:space="preserve">分期。</w:t>
      </w:r>
      <w:r>
        <w:t xml:space="preserve"> </w:t>
      </w:r>
      <w:r>
        <w:t xml:space="preserve">古典作品被分为文艺复兴（1600年之前）、早期巴洛克（1600–99）、晚期巴洛克（1700–49）、古典时期（1750–99）、早期浪漫主义（1800–49）、晚期浪漫主义（1850–99）和20世纪早期（1900–49）；爵士乐分为摇摆时代（1945年之前）、比博普与硬博普（1945–59）、调式与后博普（1960–74）和1975年及以后；流行音乐分为1950–64年、1965–74年、1975–84年和1985年及以后。同样的指标也按25年（古典）和按十年（爵士与流行）分箱，省略少于五首作品的分箱。</w:t>
      </w:r>
    </w:p>
    <w:p>
      <w:pPr>
        <w:pStyle w:val="BodyText"/>
      </w:pPr>
      <w:r>
        <w:rPr>
          <w:bCs/>
          <w:b/>
        </w:rPr>
        <w:t xml:space="preserve">混合效应模型与变点模型。</w:t>
      </w:r>
      <w:r>
        <w:t xml:space="preserve"> </w:t>
      </w:r>
      <w:r>
        <w:t xml:space="preserve">对每项古典指标，以限制性最大似然法拟合线性混合模型（statsmodels 0.15）：指标 ~ 年份（以世纪为单位，以1750年为中心）+ 铰链项max(0, year − 1850) + 语料库 + 调式（小调 = 1），并以作曲家为随机截距（59位作曲家，2,058首作品）；不含调式项的模型亦一并报告。1850年铰链是对斜率是否在该时期后半段发生变化的固定的、预先设定的检验，而不是对变化年份的估计，后者由变点分析提供。跨曲目库的模型为：指标 ~ 年份 × 体裁，以作曲家或艺术家为随机截距。变点通过在候选年份网格（1600–1910，步长5年）上对作品层面数值进行最小二乘铰链回归来定位，95%置信区间来自对作品的200次自助法重抽样，并以BIC与直线模型和双断点折线模型进行模型比较。</w:t>
      </w:r>
    </w:p>
    <w:p>
      <w:pPr>
        <w:pStyle w:val="BodyText"/>
      </w:pPr>
      <w:r>
        <w:rPr>
          <w:bCs/>
          <w:b/>
        </w:rPr>
        <w:t xml:space="preserve">地点。</w:t>
      </w:r>
      <w:r>
        <w:t xml:space="preserve"> </w:t>
      </w:r>
      <w:r>
        <w:t xml:space="preserve">每首作品被分配到其创作所在的城市：对古典作曲家，取作曲家在作品日期的居住时间线（J. S. 巴赫1720年的独奏作品在克滕，1725年的众赞歌在莱比锡；肖邦（Chopin）1830年之前在华沙，之后在巴黎）；对爵士演奏家，取该时期的录音基地；对流行艺术家，取唱片制作所在的城市（披头士（Beatles）自1963年起为伦敦，Motown艺术家在该厂牌1972年迁移后为洛杉矶，威尔逊·皮克特（Wilson Pickett）为马斯尔肖尔斯）。全部412条音乐家条目（59位古典作曲家、74位爵士演奏家、279位流行艺术家）均对照引用的传记来源进行了核查（英文维基百科、各国传记词典、百科全书；补充数据1给出每一条的来源）：269条时间线得到确认，72条得到更正，71条因来源无法确定相关年份而保持原分配（标记为低置信度）。坐标来自一个包含105个城市的地名录。3,318首作品（94%）被定位。</w:t>
      </w:r>
    </w:p>
    <w:p>
      <w:pPr>
        <w:pStyle w:val="BodyText"/>
      </w:pPr>
      <w:r>
        <w:rPr>
          <w:bCs/>
          <w:b/>
        </w:rPr>
        <w:t xml:space="preserve">时空框架与场景。</w:t>
      </w:r>
      <w:r>
        <w:t xml:space="preserve"> </w:t>
      </w:r>
      <w:r>
        <w:t xml:space="preserve">每首已定位的作品被置于(x, y, t)处，其中x和y为等距圆柱投影的公里数，t = 年份 × 10 km，因此一个世纪等于1,000 km，十年相当于100 km——在这一尺度下，作曲家在一座城市的工作生涯形成一个紧凑的点云。对这些坐标进行Ward聚类，切分为26个簇，并将少于八首作品的簇合并到其1,500公里当量范围内的最近邻簇，得到25个场景，每个场景以十四项指标的均值刻画。</w:t>
      </w:r>
    </w:p>
    <w:p>
      <w:pPr>
        <w:pStyle w:val="BodyText"/>
      </w:pPr>
      <w:r>
        <w:rPr>
          <w:bCs/>
          <w:b/>
        </w:rPr>
        <w:t xml:space="preserve">作曲家空间与聚类。</w:t>
      </w:r>
      <w:r>
        <w:t xml:space="preserve"> </w:t>
      </w:r>
      <w:r>
        <w:t xml:space="preserve">拥有至少五首已定位作品的136位作曲家和艺术家以十四项指标的均值描述，并以作品层面的均值和标准差进行标准化。对于仅出现在Rock Corpus中的艺术家，七和弦比率和扩展音比率被视为未测量（见“稳健性”），并以其他流行艺术家的中位数填补。对全部十四项标准化指标进行Ward聚类，切分为六组；计算了二至十组的轮廓系数、与k-means的一致性（调整兰德指数）以及在对作曲家的300次自助法重抽样下的稳定性，其中每位作曲家的隶属置信度定义为其与原簇成员归为一组的重抽样份额。为便于展示，从同一矩阵计算了前三个主成分（交互式地图中提供了方差最大旋转因子解）；分组与展示是两个独立的步骤。</w:t>
      </w:r>
    </w:p>
    <w:p>
      <w:pPr>
        <w:pStyle w:val="BodyText"/>
      </w:pPr>
      <w:r>
        <w:rPr>
          <w:bCs/>
          <w:b/>
        </w:rPr>
        <w:t xml:space="preserve">Mantel检验。</w:t>
      </w:r>
      <w:r>
        <w:t xml:space="preserve"> </w:t>
      </w:r>
      <w:r>
        <w:t xml:space="preserve">对作曲家和艺术家的每个子集，构建三个距离矩阵：和声距离（标准化十四维指标空间中的欧氏距离）、时间距离（中位年份的绝对差）和地理距离（城市间的大圆距离）。以5,000次置换的Mantel相关检验了和声对时间和对地理的关系；偏Mantel相关（残差法）在去除另一方的线性效应后分别检验二者，并且对于合并的现代子集，还在去除同体裁指示矩阵之后进行检验。Mantel族的二十个p值以Benjamini–Hochberg程序进行校正。在古典语料库内部的作品层面，将每首作品在和声上最近的、出自不同作曲家的邻居，在年份差距和是否共享城市两方面与两个零模型进行比较：由不同作曲家创作的随机配对（1,000次抽取），以及由不同作曲家创作、在时间上不比观察到的邻居更远的随机配对（300次抽取）。</w:t>
      </w:r>
    </w:p>
    <w:p>
      <w:pPr>
        <w:pStyle w:val="BodyText"/>
      </w:pPr>
      <w:r>
        <w:rPr>
          <w:bCs/>
          <w:b/>
        </w:rPr>
        <w:t xml:space="preserve">稳健性检验。</w:t>
      </w:r>
      <w:r>
        <w:t xml:space="preserve"> </w:t>
      </w:r>
      <w:r>
        <w:t xml:space="preserve">（1）在Rock Corpus和McGill Billboard中均被转录的十二首录音按标题和表演者匹配（同一录音，排除翻唱），并以配对Wilcoxon检验、Pearson相关和配对均值差的95%区间比较每项指标，以该指标在四个流行音乐时期间的变动范围为判断标准。（2）在两个古典语料库中均出现的作曲家按其各语料库均值进行比较。（3）上述混合模型，含与不含调式项。（4）上述变点模型。（5）将无和弦区段视为进行中的断裂，重新运行整个流程，使任何转换都不跨越这些区段计数。（6）依次移除每项指标、移除每一族指标、使用k-means以及平均连接和完全连接、并使用严格无和弦运行的作曲家特征，重新计算六组解，并以调整兰德指数与已发表的解进行比较。</w:t>
      </w:r>
    </w:p>
    <w:p>
      <w:pPr>
        <w:pStyle w:val="BodyText"/>
      </w:pPr>
      <w:r>
        <w:rPr>
          <w:bCs/>
          <w:b/>
        </w:rPr>
        <w:t xml:space="preserve">软件与人工智能辅助。</w:t>
      </w:r>
      <w:r>
        <w:t xml:space="preserve"> </w:t>
      </w:r>
      <w:r>
        <w:t xml:space="preserve">Python 3.13，配合pandas、NumPy、SciPy、scikit-learn、statsmodels和music21；交互式时空立方体与作曲家地图使用Three.js和D3。分析代码、地点表的来源检索以及文献检索在大语言模型（Claude，Anthropic）的辅助下、在作者的指导和审核下完成，详见“人工智能的使用”。所有代码、中间表格以及附带来源的地点表均在“代码可用性”所引用的代码库中。</w:t>
      </w:r>
    </w:p>
    <w:bookmarkEnd w:id="38"/>
    <w:bookmarkStart w:id="39" w:name="数据可用性"/>
    <w:p>
      <w:pPr>
        <w:pStyle w:val="Heading2"/>
      </w:pPr>
      <w:r>
        <w:t xml:space="preserve">数据可用性</w:t>
      </w:r>
    </w:p>
    <w:p>
      <w:pPr>
        <w:pStyle w:val="FirstParagraph"/>
      </w:pPr>
      <w:r>
        <w:t xml:space="preserve">所有源语料库均为公开：Distant Listening Corpus（github.com/DCMLab，CC BY-NC 4.0）、When in Rome（github.com/MarkGotham/When-in-Rome）、ChoCo（github.com/smashub/choco），后者打包了McGill Billboard、Rock Corpus和Weimar Jazz Database分区。逐作品指标表、时期与作曲家汇总、场景与聚类表、附带来源的已核实地点表以及稳健性输出均在项目代码库中（github.com/ShaneM73/harmony-space-time，</w:t>
      </w:r>
      <w:r>
        <w:rPr>
          <w:rStyle w:val="VerbatimChar"/>
        </w:rPr>
        <w:t xml:space="preserve">data/</w:t>
      </w:r>
      <w:r>
        <w:t xml:space="preserve">）。</w:t>
      </w:r>
      <w:r>
        <w:rPr>
          <w:bCs/>
          <w:b/>
        </w:rPr>
        <w:t xml:space="preserve">代码库的标记版本将在投稿时存入Zenodo，并在此处添加其DOI。</w:t>
      </w:r>
    </w:p>
    <w:bookmarkEnd w:id="39"/>
    <w:bookmarkStart w:id="40" w:name="代码可用性"/>
    <w:p>
      <w:pPr>
        <w:pStyle w:val="Heading2"/>
      </w:pPr>
      <w:r>
        <w:t xml:space="preserve">代码可用性</w:t>
      </w:r>
    </w:p>
    <w:p>
      <w:pPr>
        <w:pStyle w:val="FirstParagraph"/>
      </w:pPr>
      <w:r>
        <w:t xml:space="preserve">完整流程（语料库加载器、统一表示、指标、时期汇总、地点、时空场景、作曲家聚类、Mantel检验、混合效应与变点模型、稳健性检验）以及交互式时空立方体和作曲家地图位于github.com/ShaneM73/harmony-space-time，采用开放许可证</w:t>
      </w:r>
      <w:r>
        <w:rPr>
          <w:bCs/>
          <w:b/>
        </w:rPr>
        <w:t xml:space="preserve">（代码采用MIT许可证；派生数据表采用CC BY 4.0，并受源语料库许可证的约束）</w:t>
      </w:r>
      <w:r>
        <w:t xml:space="preserve">；在线应用位于shanem73.github.io/harmony-space-time。</w:t>
      </w:r>
    </w:p>
    <w:bookmarkEnd w:id="40"/>
    <w:bookmarkStart w:id="41" w:name="作者贡献"/>
    <w:p>
      <w:pPr>
        <w:pStyle w:val="Heading2"/>
      </w:pPr>
      <w:r>
        <w:t xml:space="preserve">作者贡献</w:t>
      </w:r>
    </w:p>
    <w:p>
      <w:pPr>
        <w:pStyle w:val="FirstParagraph"/>
      </w:pPr>
      <w:r>
        <w:t xml:space="preserve">X.M. 构思了本研究，设计了时空框架，指导了分析，解释了结果并撰写了论文。</w:t>
      </w:r>
    </w:p>
    <w:bookmarkEnd w:id="41"/>
    <w:bookmarkStart w:id="42" w:name="利益冲突"/>
    <w:p>
      <w:pPr>
        <w:pStyle w:val="Heading2"/>
      </w:pPr>
      <w:r>
        <w:t xml:space="preserve">利益冲突</w:t>
      </w:r>
    </w:p>
    <w:p>
      <w:pPr>
        <w:pStyle w:val="FirstParagraph"/>
      </w:pPr>
      <w:r>
        <w:t xml:space="preserve">作者声明不存在利益冲突。</w:t>
      </w:r>
    </w:p>
    <w:bookmarkEnd w:id="42"/>
    <w:bookmarkStart w:id="43" w:name="伦理"/>
    <w:p>
      <w:pPr>
        <w:pStyle w:val="Heading2"/>
      </w:pPr>
      <w:r>
        <w:t xml:space="preserve">伦理</w:t>
      </w:r>
    </w:p>
    <w:p>
      <w:pPr>
        <w:pStyle w:val="FirstParagraph"/>
      </w:pPr>
      <w:r>
        <w:t xml:space="preserve">本研究使用已发表的音乐标注以及关于历史人物和公众人物的传记信息；不涉及人类受试者。</w:t>
      </w:r>
    </w:p>
    <w:bookmarkEnd w:id="43"/>
    <w:bookmarkStart w:id="44" w:name="人工智能的使用"/>
    <w:p>
      <w:pPr>
        <w:pStyle w:val="Heading2"/>
      </w:pPr>
      <w:r>
        <w:t xml:space="preserve">人工智能的使用</w:t>
      </w:r>
    </w:p>
    <w:p>
      <w:pPr>
        <w:pStyle w:val="FirstParagraph"/>
      </w:pPr>
      <w:r>
        <w:t xml:space="preserve">根据Nature Portfolio的政策，大语言模型的使用在此处及“方法”中予以记录。Claude（Anthropic）在作者的指导下被用于编写和运行分析代码、检索和核查地点表的传记来源、编纂带有经核实引文的文献综述、起草和修订文本，以及制作本文的中文译本；每一项分析、每一个来源和每一个句子均经作者审核，作者对内容负责。该模型不符合作者资格标准，不是作者。</w:t>
      </w:r>
    </w:p>
    <w:bookmarkEnd w:id="44"/>
    <w:bookmarkStart w:id="45" w:name="资助"/>
    <w:p>
      <w:pPr>
        <w:pStyle w:val="Heading2"/>
      </w:pPr>
      <w:r>
        <w:t xml:space="preserve">资助</w:t>
      </w:r>
    </w:p>
    <w:p>
      <w:pPr>
        <w:pStyle w:val="FirstParagraph"/>
      </w:pPr>
      <w:r>
        <w:t xml:space="preserve">本研究未获得任何公共、商业或非营利部门资助机构的专项资助。</w:t>
      </w:r>
    </w:p>
    <w:bookmarkEnd w:id="45"/>
    <w:bookmarkStart w:id="46" w:name="参考文献"/>
    <w:p>
      <w:pPr>
        <w:pStyle w:val="Heading2"/>
      </w:pPr>
      <w:r>
        <w:t xml:space="preserve">参考文献</w:t>
      </w:r>
    </w:p>
    <w:p>
      <w:pPr>
        <w:numPr>
          <w:ilvl w:val="0"/>
          <w:numId w:val="1002"/>
        </w:numPr>
        <w:pStyle w:val="Compact"/>
      </w:pPr>
      <w:r>
        <w:t xml:space="preserve">Savage, P. E. Cultural evolution of music.</w:t>
      </w:r>
      <w:r>
        <w:t xml:space="preserve"> </w:t>
      </w:r>
      <w:r>
        <w:rPr>
          <w:iCs/>
          <w:i/>
        </w:rPr>
        <w:t xml:space="preserve">Palgrave Commun.</w:t>
      </w:r>
      <w:r>
        <w:t xml:space="preserve"> </w:t>
      </w:r>
      <w:r>
        <w:rPr>
          <w:bCs/>
          <w:b/>
        </w:rPr>
        <w:t xml:space="preserve">5</w:t>
      </w:r>
      <w:r>
        <w:t xml:space="preserve">, 16 (2019). https://doi.org/10.1057/s41599-019-0221-1</w:t>
      </w:r>
    </w:p>
    <w:p>
      <w:pPr>
        <w:numPr>
          <w:ilvl w:val="0"/>
          <w:numId w:val="1002"/>
        </w:numPr>
        <w:pStyle w:val="Compact"/>
      </w:pPr>
      <w:r>
        <w:t xml:space="preserve">Serrà, J., Corral, Á., Boguñá, M., Haro, M. &amp; Arcos, J. L. Measuring the evolution of contemporary western popular music.</w:t>
      </w:r>
      <w:r>
        <w:t xml:space="preserve"> </w:t>
      </w:r>
      <w:r>
        <w:rPr>
          <w:iCs/>
          <w:i/>
        </w:rPr>
        <w:t xml:space="preserve">Sci. Rep.</w:t>
      </w:r>
      <w:r>
        <w:t xml:space="preserve"> </w:t>
      </w:r>
      <w:r>
        <w:rPr>
          <w:bCs/>
          <w:b/>
        </w:rPr>
        <w:t xml:space="preserve">2</w:t>
      </w:r>
      <w:r>
        <w:t xml:space="preserve">, 521 (2012). https://doi.org/10.1038/srep00521</w:t>
      </w:r>
    </w:p>
    <w:p>
      <w:pPr>
        <w:numPr>
          <w:ilvl w:val="0"/>
          <w:numId w:val="1002"/>
        </w:numPr>
        <w:pStyle w:val="Compact"/>
      </w:pPr>
      <w:r>
        <w:t xml:space="preserve">Mauch, M., MacCallum, R. M., Levy, M. &amp; Leroi, A. M. The evolution of popular music: USA 1960–2010.</w:t>
      </w:r>
      <w:r>
        <w:t xml:space="preserve"> </w:t>
      </w:r>
      <w:r>
        <w:rPr>
          <w:iCs/>
          <w:i/>
        </w:rPr>
        <w:t xml:space="preserve">R. Soc. Open Sci.</w:t>
      </w:r>
      <w:r>
        <w:t xml:space="preserve"> </w:t>
      </w:r>
      <w:r>
        <w:rPr>
          <w:bCs/>
          <w:b/>
        </w:rPr>
        <w:t xml:space="preserve">2</w:t>
      </w:r>
      <w:r>
        <w:t xml:space="preserve">, 150081 (2015). https://doi.org/10.1098/rsos.150081</w:t>
      </w:r>
    </w:p>
    <w:p>
      <w:pPr>
        <w:numPr>
          <w:ilvl w:val="0"/>
          <w:numId w:val="1002"/>
        </w:numPr>
        <w:pStyle w:val="Compact"/>
      </w:pPr>
      <w:r>
        <w:t xml:space="preserve">Hamilton, M. &amp; Pearce, M. Trajectories and revolutions in popular melody based on U.S. charts from 1950 to 2023.</w:t>
      </w:r>
      <w:r>
        <w:t xml:space="preserve"> </w:t>
      </w:r>
      <w:r>
        <w:rPr>
          <w:iCs/>
          <w:i/>
        </w:rPr>
        <w:t xml:space="preserve">Sci. Rep.</w:t>
      </w:r>
      <w:r>
        <w:t xml:space="preserve"> </w:t>
      </w:r>
      <w:r>
        <w:rPr>
          <w:bCs/>
          <w:b/>
        </w:rPr>
        <w:t xml:space="preserve">14</w:t>
      </w:r>
      <w:r>
        <w:t xml:space="preserve"> </w:t>
      </w:r>
      <w:r>
        <w:t xml:space="preserve">(2024). https://doi.org/10.1038/s41598-024-64571-x</w:t>
      </w:r>
    </w:p>
    <w:p>
      <w:pPr>
        <w:numPr>
          <w:ilvl w:val="0"/>
          <w:numId w:val="1002"/>
        </w:numPr>
        <w:pStyle w:val="Compact"/>
      </w:pPr>
      <w:r>
        <w:t xml:space="preserve">Weiß, C., Mauch, M., Dixon, S. &amp; Müller, M. Investigating style evolution of Western classical music: a computational approach.</w:t>
      </w:r>
      <w:r>
        <w:t xml:space="preserve"> </w:t>
      </w:r>
      <w:r>
        <w:rPr>
          <w:iCs/>
          <w:i/>
        </w:rPr>
        <w:t xml:space="preserve">Music. Sci.</w:t>
      </w:r>
      <w:r>
        <w:t xml:space="preserve"> </w:t>
      </w:r>
      <w:r>
        <w:rPr>
          <w:bCs/>
          <w:b/>
        </w:rPr>
        <w:t xml:space="preserve">23</w:t>
      </w:r>
      <w:r>
        <w:t xml:space="preserve">, 486–507 (2019). https://doi.org/10.1177/1029864918757595 (fill: confirm vol/pages)</w:t>
      </w:r>
    </w:p>
    <w:p>
      <w:pPr>
        <w:numPr>
          <w:ilvl w:val="0"/>
          <w:numId w:val="1002"/>
        </w:numPr>
        <w:pStyle w:val="Compact"/>
      </w:pPr>
      <w:r>
        <w:t xml:space="preserve">Harasim, D., Moss, F. C., Ramirez, M. &amp; Rohrmeier, M. Exploring the foundations of tonality: statistical cognitive modeling of modes in the history of Western classical music.</w:t>
      </w:r>
      <w:r>
        <w:t xml:space="preserve"> </w:t>
      </w:r>
      <w:r>
        <w:rPr>
          <w:iCs/>
          <w:i/>
        </w:rPr>
        <w:t xml:space="preserve">Humanit. Soc. Sci. Commun.</w:t>
      </w:r>
      <w:r>
        <w:t xml:space="preserve"> </w:t>
      </w:r>
      <w:r>
        <w:rPr>
          <w:bCs/>
          <w:b/>
        </w:rPr>
        <w:t xml:space="preserve">8</w:t>
      </w:r>
      <w:r>
        <w:t xml:space="preserve">, 5 (2021). https://doi.org/10.1057/s41599-020-00678-6</w:t>
      </w:r>
    </w:p>
    <w:p>
      <w:pPr>
        <w:numPr>
          <w:ilvl w:val="0"/>
          <w:numId w:val="1002"/>
        </w:numPr>
        <w:pStyle w:val="Compact"/>
      </w:pPr>
      <w:r>
        <w:t xml:space="preserve">Moss, F. C., Lieck, R. &amp; Rohrmeier, M. Computational modeling of interval distributions in tonal space reveals paradigmatic stylistic changes in Western music history.</w:t>
      </w:r>
      <w:r>
        <w:t xml:space="preserve"> </w:t>
      </w:r>
      <w:r>
        <w:rPr>
          <w:iCs/>
          <w:i/>
        </w:rPr>
        <w:t xml:space="preserve">Humanit. Soc. Sci. Commun.</w:t>
      </w:r>
      <w:r>
        <w:t xml:space="preserve"> </w:t>
      </w:r>
      <w:r>
        <w:rPr>
          <w:bCs/>
          <w:b/>
        </w:rPr>
        <w:t xml:space="preserve">11</w:t>
      </w:r>
      <w:r>
        <w:t xml:space="preserve"> </w:t>
      </w:r>
      <w:r>
        <w:t xml:space="preserve">(2024). (fill: DOI)</w:t>
      </w:r>
    </w:p>
    <w:p>
      <w:pPr>
        <w:numPr>
          <w:ilvl w:val="0"/>
          <w:numId w:val="1002"/>
        </w:numPr>
        <w:pStyle w:val="Compact"/>
      </w:pPr>
      <w:r>
        <w:t xml:space="preserve">Moss, F. C., Neuwirth, M. &amp; Rohrmeier, M. The line of fifths and the co-evolution of tonal pitch-classes.</w:t>
      </w:r>
      <w:r>
        <w:t xml:space="preserve"> </w:t>
      </w:r>
      <w:r>
        <w:rPr>
          <w:iCs/>
          <w:i/>
        </w:rPr>
        <w:t xml:space="preserve">J. Math. Music</w:t>
      </w:r>
      <w:r>
        <w:t xml:space="preserve"> </w:t>
      </w:r>
      <w:r>
        <w:t xml:space="preserve">(2022). https://doi.org/10.1080/17459737.2022.2044927 (fill)</w:t>
      </w:r>
    </w:p>
    <w:p>
      <w:pPr>
        <w:numPr>
          <w:ilvl w:val="0"/>
          <w:numId w:val="1002"/>
        </w:numPr>
        <w:pStyle w:val="Compact"/>
      </w:pPr>
      <w:r>
        <w:t xml:space="preserve">Sailor, M.</w:t>
      </w:r>
      <w:r>
        <w:t xml:space="preserve"> </w:t>
      </w:r>
      <w:r>
        <w:rPr>
          <w:iCs/>
          <w:i/>
        </w:rPr>
        <w:t xml:space="preserve">Deep Learning for Large-Scale Harmonic Analysis: A Corpus Study of Western Harmony from 1700–1900</w:t>
      </w:r>
      <w:r>
        <w:t xml:space="preserve">. PhD dissertation, Yale University (2025). https://elischolar.library.yale.edu/gsas_dissertations/1574</w:t>
      </w:r>
    </w:p>
    <w:p>
      <w:pPr>
        <w:numPr>
          <w:ilvl w:val="0"/>
          <w:numId w:val="1002"/>
        </w:numPr>
        <w:pStyle w:val="Compact"/>
      </w:pPr>
      <w:r>
        <w:t xml:space="preserve">Nakamura, E. &amp; Kaneko, K. Statistical evolutionary laws in music styles.</w:t>
      </w:r>
      <w:r>
        <w:t xml:space="preserve"> </w:t>
      </w:r>
      <w:r>
        <w:rPr>
          <w:iCs/>
          <w:i/>
        </w:rPr>
        <w:t xml:space="preserve">Sci. Rep.</w:t>
      </w:r>
      <w:r>
        <w:t xml:space="preserve"> </w:t>
      </w:r>
      <w:r>
        <w:rPr>
          <w:bCs/>
          <w:b/>
        </w:rPr>
        <w:t xml:space="preserve">9</w:t>
      </w:r>
      <w:r>
        <w:t xml:space="preserve"> </w:t>
      </w:r>
      <w:r>
        <w:t xml:space="preserve">(2019). https://doi.org/10.1038/s41598-019-52380-6</w:t>
      </w:r>
    </w:p>
    <w:p>
      <w:pPr>
        <w:numPr>
          <w:ilvl w:val="0"/>
          <w:numId w:val="1002"/>
        </w:numPr>
        <w:pStyle w:val="Compact"/>
      </w:pPr>
      <w:r>
        <w:t xml:space="preserve">Anzuoni, E., Ayhan, S., Dutto, F., McLeod, A. P., Moss, F. C. &amp; Rohrmeier, M. A. Chord embeddings of harmonic progressions reveal historical trends. In</w:t>
      </w:r>
      <w:r>
        <w:t xml:space="preserve"> </w:t>
      </w:r>
      <w:r>
        <w:rPr>
          <w:iCs/>
          <w:i/>
        </w:rPr>
        <w:t xml:space="preserve">Proc. Sound and Music Computing Conference</w:t>
      </w:r>
      <w:r>
        <w:t xml:space="preserve"> </w:t>
      </w:r>
      <w:r>
        <w:t xml:space="preserve">(2021).</w:t>
      </w:r>
    </w:p>
    <w:p>
      <w:pPr>
        <w:numPr>
          <w:ilvl w:val="0"/>
          <w:numId w:val="1002"/>
        </w:numPr>
        <w:pStyle w:val="Compact"/>
      </w:pPr>
      <w:r>
        <w:t xml:space="preserve">Broze, Y. &amp; Shanahan, D. Diachronic changes in jazz harmony: a cognitive perspective.</w:t>
      </w:r>
      <w:r>
        <w:t xml:space="preserve"> </w:t>
      </w:r>
      <w:r>
        <w:rPr>
          <w:iCs/>
          <w:i/>
        </w:rPr>
        <w:t xml:space="preserve">Music Percept.</w:t>
      </w:r>
      <w:r>
        <w:t xml:space="preserve"> </w:t>
      </w:r>
      <w:r>
        <w:rPr>
          <w:bCs/>
          <w:b/>
        </w:rPr>
        <w:t xml:space="preserve">31</w:t>
      </w:r>
      <w:r>
        <w:t xml:space="preserve">, 32–45 (2013).</w:t>
      </w:r>
    </w:p>
    <w:p>
      <w:pPr>
        <w:numPr>
          <w:ilvl w:val="0"/>
          <w:numId w:val="1002"/>
        </w:numPr>
        <w:pStyle w:val="Compact"/>
      </w:pPr>
      <w:r>
        <w:t xml:space="preserve">de Clercq, T. &amp; Temperley, D. A corpus analysis of rock harmony.</w:t>
      </w:r>
      <w:r>
        <w:t xml:space="preserve"> </w:t>
      </w:r>
      <w:r>
        <w:rPr>
          <w:iCs/>
          <w:i/>
        </w:rPr>
        <w:t xml:space="preserve">Pop. Music</w:t>
      </w:r>
      <w:r>
        <w:t xml:space="preserve"> </w:t>
      </w:r>
      <w:r>
        <w:rPr>
          <w:bCs/>
          <w:b/>
        </w:rPr>
        <w:t xml:space="preserve">30</w:t>
      </w:r>
      <w:r>
        <w:t xml:space="preserve">, 47–70 (2011). https://doi.org/10.1017/S026114301000067X</w:t>
      </w:r>
    </w:p>
    <w:p>
      <w:pPr>
        <w:numPr>
          <w:ilvl w:val="0"/>
          <w:numId w:val="1002"/>
        </w:numPr>
        <w:pStyle w:val="Compact"/>
      </w:pPr>
      <w:r>
        <w:t xml:space="preserve">Temperley, D. &amp; de Clercq, T. Statistical analysis of harmony and melody in rock music.</w:t>
      </w:r>
      <w:r>
        <w:t xml:space="preserve"> </w:t>
      </w:r>
      <w:r>
        <w:rPr>
          <w:iCs/>
          <w:i/>
        </w:rPr>
        <w:t xml:space="preserve">J. New Music Res.</w:t>
      </w:r>
      <w:r>
        <w:t xml:space="preserve"> </w:t>
      </w:r>
      <w:r>
        <w:rPr>
          <w:bCs/>
          <w:b/>
        </w:rPr>
        <w:t xml:space="preserve">42</w:t>
      </w:r>
      <w:r>
        <w:t xml:space="preserve">, 187–204 (2013). https://doi.org/10.1080/09298215.2013.788039</w:t>
      </w:r>
    </w:p>
    <w:p>
      <w:pPr>
        <w:numPr>
          <w:ilvl w:val="0"/>
          <w:numId w:val="1002"/>
        </w:numPr>
        <w:pStyle w:val="Compact"/>
      </w:pPr>
      <w:r>
        <w:t xml:space="preserve">Léveillé Gauvin, H.</w:t>
      </w:r>
      <w:r>
        <w:t xml:space="preserve"> </w:t>
      </w:r>
      <w:r>
        <w:t xml:space="preserve">“</w:t>
      </w:r>
      <w:r>
        <w:t xml:space="preserve">The times they were a-changin’</w:t>
      </w:r>
      <w:r>
        <w:t xml:space="preserve">”</w:t>
      </w:r>
      <w:r>
        <w:t xml:space="preserve">: a database-driven approach to the evolution of musical syntax in popular music from the 1960s.</w:t>
      </w:r>
      <w:r>
        <w:t xml:space="preserve"> </w:t>
      </w:r>
      <w:r>
        <w:rPr>
          <w:iCs/>
          <w:i/>
        </w:rPr>
        <w:t xml:space="preserve">Empir. Musicol. Rev.</w:t>
      </w:r>
      <w:r>
        <w:t xml:space="preserve"> </w:t>
      </w:r>
      <w:r>
        <w:rPr>
          <w:bCs/>
          <w:b/>
        </w:rPr>
        <w:t xml:space="preserve">10</w:t>
      </w:r>
      <w:r>
        <w:t xml:space="preserve">, 215–238 (2015). https://doi.org/10.18061/emr.v10i3.4467</w:t>
      </w:r>
    </w:p>
    <w:p>
      <w:pPr>
        <w:numPr>
          <w:ilvl w:val="0"/>
          <w:numId w:val="1002"/>
        </w:numPr>
        <w:pStyle w:val="Compact"/>
      </w:pPr>
      <w:r>
        <w:t xml:space="preserve">Moss, F. C. &amp; Nakamura, E. Modeling the evolution of harmony in popular music from different cultural contexts. In</w:t>
      </w:r>
      <w:r>
        <w:t xml:space="preserve"> </w:t>
      </w:r>
      <w:r>
        <w:rPr>
          <w:iCs/>
          <w:i/>
        </w:rPr>
        <w:t xml:space="preserve">Proc. Computational Humanities Research (CHR 2024)</w:t>
      </w:r>
      <w:r>
        <w:t xml:space="preserve">, CEUR Workshop Proceedings, 137–152 (2024).</w:t>
      </w:r>
    </w:p>
    <w:p>
      <w:pPr>
        <w:numPr>
          <w:ilvl w:val="0"/>
          <w:numId w:val="1002"/>
        </w:numPr>
        <w:pStyle w:val="Compact"/>
      </w:pPr>
      <w:r>
        <w:t xml:space="preserve">Tymoczko, D.</w:t>
      </w:r>
      <w:r>
        <w:t xml:space="preserve"> </w:t>
      </w:r>
      <w:r>
        <w:rPr>
          <w:iCs/>
          <w:i/>
        </w:rPr>
        <w:t xml:space="preserve">A Geometry of Music: Harmony and Counterpoint in the Extended Common Practice</w:t>
      </w:r>
      <w:r>
        <w:t xml:space="preserve"> </w:t>
      </w:r>
      <w:r>
        <w:t xml:space="preserve">(Oxford Univ. Press, 2011).</w:t>
      </w:r>
    </w:p>
    <w:p>
      <w:pPr>
        <w:numPr>
          <w:ilvl w:val="0"/>
          <w:numId w:val="1002"/>
        </w:numPr>
        <w:pStyle w:val="Compact"/>
      </w:pPr>
      <w:r>
        <w:t xml:space="preserve">Rohrmeier, M. Towards a generative syntax of tonal harmony.</w:t>
      </w:r>
      <w:r>
        <w:t xml:space="preserve"> </w:t>
      </w:r>
      <w:r>
        <w:rPr>
          <w:iCs/>
          <w:i/>
        </w:rPr>
        <w:t xml:space="preserve">J. Math. Music</w:t>
      </w:r>
      <w:r>
        <w:t xml:space="preserve"> </w:t>
      </w:r>
      <w:r>
        <w:rPr>
          <w:bCs/>
          <w:b/>
        </w:rPr>
        <w:t xml:space="preserve">5</w:t>
      </w:r>
      <w:r>
        <w:t xml:space="preserve">, 35–53 (2011).</w:t>
      </w:r>
    </w:p>
    <w:p>
      <w:pPr>
        <w:numPr>
          <w:ilvl w:val="0"/>
          <w:numId w:val="1002"/>
        </w:numPr>
        <w:pStyle w:val="Compact"/>
      </w:pPr>
      <w:r>
        <w:t xml:space="preserve">Rohrmeier, M. The syntax of jazz harmony: diatonic tonality, phrase structure, and form.</w:t>
      </w:r>
      <w:r>
        <w:t xml:space="preserve"> </w:t>
      </w:r>
      <w:r>
        <w:rPr>
          <w:iCs/>
          <w:i/>
        </w:rPr>
        <w:t xml:space="preserve">Music Theory Anal.</w:t>
      </w:r>
      <w:r>
        <w:t xml:space="preserve"> </w:t>
      </w:r>
      <w:r>
        <w:rPr>
          <w:bCs/>
          <w:b/>
        </w:rPr>
        <w:t xml:space="preserve">7</w:t>
      </w:r>
      <w:r>
        <w:t xml:space="preserve">, 1–62 (2020). https://doi.org/10.11116/MTA.7.1.1</w:t>
      </w:r>
    </w:p>
    <w:p>
      <w:pPr>
        <w:numPr>
          <w:ilvl w:val="0"/>
          <w:numId w:val="1002"/>
        </w:numPr>
        <w:pStyle w:val="Compact"/>
      </w:pPr>
      <w:r>
        <w:t xml:space="preserve">Everett, W. Making sense of rock’s tonal systems.</w:t>
      </w:r>
      <w:r>
        <w:t xml:space="preserve"> </w:t>
      </w:r>
      <w:r>
        <w:rPr>
          <w:iCs/>
          <w:i/>
        </w:rPr>
        <w:t xml:space="preserve">Music Theory Online</w:t>
      </w:r>
      <w:r>
        <w:t xml:space="preserve"> </w:t>
      </w:r>
      <w:r>
        <w:rPr>
          <w:bCs/>
          <w:b/>
        </w:rPr>
        <w:t xml:space="preserve">10</w:t>
      </w:r>
      <w:r>
        <w:t xml:space="preserve">(4) (2004).</w:t>
      </w:r>
    </w:p>
    <w:p>
      <w:pPr>
        <w:numPr>
          <w:ilvl w:val="0"/>
          <w:numId w:val="1002"/>
        </w:numPr>
        <w:pStyle w:val="Compact"/>
      </w:pPr>
      <w:r>
        <w:t xml:space="preserve">Biamonte, N. Triadic modal and pentatonic patterns in rock music.</w:t>
      </w:r>
      <w:r>
        <w:t xml:space="preserve"> </w:t>
      </w:r>
      <w:r>
        <w:rPr>
          <w:iCs/>
          <w:i/>
        </w:rPr>
        <w:t xml:space="preserve">Music Theory Spectr.</w:t>
      </w:r>
      <w:r>
        <w:t xml:space="preserve"> </w:t>
      </w:r>
      <w:r>
        <w:rPr>
          <w:bCs/>
          <w:b/>
        </w:rPr>
        <w:t xml:space="preserve">32</w:t>
      </w:r>
      <w:r>
        <w:t xml:space="preserve">, 95–110 (2010). https://doi.org/10.1525/mts.2010.32.2.95</w:t>
      </w:r>
    </w:p>
    <w:p>
      <w:pPr>
        <w:numPr>
          <w:ilvl w:val="0"/>
          <w:numId w:val="1002"/>
        </w:numPr>
        <w:pStyle w:val="Compact"/>
      </w:pPr>
      <w:r>
        <w:t xml:space="preserve">Doll, C.</w:t>
      </w:r>
      <w:r>
        <w:t xml:space="preserve"> </w:t>
      </w:r>
      <w:r>
        <w:rPr>
          <w:iCs/>
          <w:i/>
        </w:rPr>
        <w:t xml:space="preserve">Hearing Harmony: Toward a Tonal Theory for the Rock Era</w:t>
      </w:r>
      <w:r>
        <w:t xml:space="preserve"> </w:t>
      </w:r>
      <w:r>
        <w:t xml:space="preserve">(Univ. of Michigan Press, 2017).</w:t>
      </w:r>
    </w:p>
    <w:p>
      <w:pPr>
        <w:numPr>
          <w:ilvl w:val="0"/>
          <w:numId w:val="1002"/>
        </w:numPr>
        <w:pStyle w:val="Compact"/>
      </w:pPr>
      <w:r>
        <w:t xml:space="preserve">Nobile, D.</w:t>
      </w:r>
      <w:r>
        <w:t xml:space="preserve"> </w:t>
      </w:r>
      <w:r>
        <w:rPr>
          <w:iCs/>
          <w:i/>
        </w:rPr>
        <w:t xml:space="preserve">Form as Harmony in Rock Music</w:t>
      </w:r>
      <w:r>
        <w:t xml:space="preserve"> </w:t>
      </w:r>
      <w:r>
        <w:t xml:space="preserve">(Oxford Univ. Press, 2020).</w:t>
      </w:r>
    </w:p>
    <w:p>
      <w:pPr>
        <w:numPr>
          <w:ilvl w:val="0"/>
          <w:numId w:val="1002"/>
        </w:numPr>
        <w:pStyle w:val="Compact"/>
      </w:pPr>
      <w:r>
        <w:t xml:space="preserve">Sears, D. R. W. &amp; Forrest, D. Triadic patterns across classical and popular music corpora: stylistic conventions, or characteristic idioms?</w:t>
      </w:r>
      <w:r>
        <w:t xml:space="preserve"> </w:t>
      </w:r>
      <w:r>
        <w:rPr>
          <w:iCs/>
          <w:i/>
        </w:rPr>
        <w:t xml:space="preserve">J. Math. Music</w:t>
      </w:r>
      <w:r>
        <w:t xml:space="preserve"> </w:t>
      </w:r>
      <w:r>
        <w:rPr>
          <w:bCs/>
          <w:b/>
        </w:rPr>
        <w:t xml:space="preserve">15</w:t>
      </w:r>
      <w:r>
        <w:t xml:space="preserve">, 140–153 (2021). https://doi.org/10.1080/17459737.2021.1925762</w:t>
      </w:r>
    </w:p>
    <w:p>
      <w:pPr>
        <w:numPr>
          <w:ilvl w:val="0"/>
          <w:numId w:val="1002"/>
        </w:numPr>
        <w:pStyle w:val="Compact"/>
      </w:pPr>
      <w:r>
        <w:t xml:space="preserve">Windholz, M. O., Sears, D. R. W. &amp; Moss, F. C. Harmonic patterns in Brazilian choro: a data-driven comparison with Western classical and Anglophone popular music.</w:t>
      </w:r>
      <w:r>
        <w:t xml:space="preserve"> </w:t>
      </w:r>
      <w:r>
        <w:rPr>
          <w:iCs/>
          <w:i/>
        </w:rPr>
        <w:t xml:space="preserve">MusMat</w:t>
      </w:r>
      <w:r>
        <w:t xml:space="preserve"> </w:t>
      </w:r>
      <w:r>
        <w:rPr>
          <w:bCs/>
          <w:b/>
        </w:rPr>
        <w:t xml:space="preserve">10</w:t>
      </w:r>
      <w:r>
        <w:t xml:space="preserve"> </w:t>
      </w:r>
      <w:r>
        <w:t xml:space="preserve">(2026). (fill)</w:t>
      </w:r>
    </w:p>
    <w:p>
      <w:pPr>
        <w:numPr>
          <w:ilvl w:val="0"/>
          <w:numId w:val="1002"/>
        </w:numPr>
        <w:pStyle w:val="Compact"/>
      </w:pPr>
      <w:r>
        <w:t xml:space="preserve">de Berardinis, J., Meroño-Peñuela, A., Poltronieri, A. &amp; Presutti, V. ChoCo: a chord corpus and a data transformation workflow for musical harmony knowledge graphs.</w:t>
      </w:r>
      <w:r>
        <w:t xml:space="preserve"> </w:t>
      </w:r>
      <w:r>
        <w:rPr>
          <w:iCs/>
          <w:i/>
        </w:rPr>
        <w:t xml:space="preserve">Sci. Data</w:t>
      </w:r>
      <w:r>
        <w:t xml:space="preserve"> </w:t>
      </w:r>
      <w:r>
        <w:rPr>
          <w:bCs/>
          <w:b/>
        </w:rPr>
        <w:t xml:space="preserve">10</w:t>
      </w:r>
      <w:r>
        <w:t xml:space="preserve">, 641 (2023). https://doi.org/10.1038/s41597-023-02410-w (fill: article no.)</w:t>
      </w:r>
    </w:p>
    <w:p>
      <w:pPr>
        <w:numPr>
          <w:ilvl w:val="0"/>
          <w:numId w:val="1002"/>
        </w:numPr>
        <w:pStyle w:val="Compact"/>
      </w:pPr>
      <w:r>
        <w:t xml:space="preserve">White, C. W. Changing styles, changing corpora, changing tonal models.</w:t>
      </w:r>
      <w:r>
        <w:t xml:space="preserve"> </w:t>
      </w:r>
      <w:r>
        <w:rPr>
          <w:iCs/>
          <w:i/>
        </w:rPr>
        <w:t xml:space="preserve">Music Percept.</w:t>
      </w:r>
      <w:r>
        <w:t xml:space="preserve"> </w:t>
      </w:r>
      <w:r>
        <w:rPr>
          <w:bCs/>
          <w:b/>
        </w:rPr>
        <w:t xml:space="preserve">31</w:t>
      </w:r>
      <w:r>
        <w:t xml:space="preserve">, 244–253 (2014). (fill: confirm)</w:t>
      </w:r>
    </w:p>
    <w:p>
      <w:pPr>
        <w:numPr>
          <w:ilvl w:val="0"/>
          <w:numId w:val="1002"/>
        </w:numPr>
        <w:pStyle w:val="Compact"/>
      </w:pPr>
      <w:r>
        <w:t xml:space="preserve">Almeida, F., Bernardes, G. &amp; Weiß, C. Mid-level harmonic audio features for musical style classification. In</w:t>
      </w:r>
      <w:r>
        <w:t xml:space="preserve"> </w:t>
      </w:r>
      <w:r>
        <w:rPr>
          <w:iCs/>
          <w:i/>
        </w:rPr>
        <w:t xml:space="preserve">Proc. ISMIR 2022</w:t>
      </w:r>
      <w:r>
        <w:t xml:space="preserve">, 210–217 (2022).</w:t>
      </w:r>
    </w:p>
    <w:p>
      <w:pPr>
        <w:numPr>
          <w:ilvl w:val="0"/>
          <w:numId w:val="1002"/>
        </w:numPr>
        <w:pStyle w:val="Compact"/>
      </w:pPr>
      <w:r>
        <w:t xml:space="preserve">Shaffer, K. et al. A cluster analysis of harmony in the McGill Billboard dataset.</w:t>
      </w:r>
      <w:r>
        <w:t xml:space="preserve"> </w:t>
      </w:r>
      <w:r>
        <w:rPr>
          <w:iCs/>
          <w:i/>
        </w:rPr>
        <w:t xml:space="preserve">Empir. Musicol. Rev.</w:t>
      </w:r>
      <w:r>
        <w:t xml:space="preserve"> </w:t>
      </w:r>
      <w:r>
        <w:rPr>
          <w:bCs/>
          <w:b/>
        </w:rPr>
        <w:t xml:space="preserve">14</w:t>
      </w:r>
      <w:r>
        <w:t xml:space="preserve">, 146–162 (2020). https://doi.org/10.18061/emr.v14i3-4.5576</w:t>
      </w:r>
    </w:p>
    <w:p>
      <w:pPr>
        <w:numPr>
          <w:ilvl w:val="0"/>
          <w:numId w:val="1002"/>
        </w:numPr>
        <w:pStyle w:val="Compact"/>
      </w:pPr>
      <w:r>
        <w:t xml:space="preserve">Schich, M. et al. A network framework of cultural history.</w:t>
      </w:r>
      <w:r>
        <w:t xml:space="preserve"> </w:t>
      </w:r>
      <w:r>
        <w:rPr>
          <w:iCs/>
          <w:i/>
        </w:rPr>
        <w:t xml:space="preserve">Science</w:t>
      </w:r>
      <w:r>
        <w:t xml:space="preserve"> </w:t>
      </w:r>
      <w:r>
        <w:rPr>
          <w:bCs/>
          <w:b/>
        </w:rPr>
        <w:t xml:space="preserve">345</w:t>
      </w:r>
      <w:r>
        <w:t xml:space="preserve">, 558–562 (2014).</w:t>
      </w:r>
    </w:p>
    <w:p>
      <w:pPr>
        <w:numPr>
          <w:ilvl w:val="0"/>
          <w:numId w:val="1002"/>
        </w:numPr>
        <w:pStyle w:val="Compact"/>
      </w:pPr>
      <w:r>
        <w:t xml:space="preserve">Park, D., Bae, A., Schich, M. &amp; Park, J. Topology and evolution of the network of western classical music composers.</w:t>
      </w:r>
      <w:r>
        <w:t xml:space="preserve"> </w:t>
      </w:r>
      <w:r>
        <w:rPr>
          <w:iCs/>
          <w:i/>
        </w:rPr>
        <w:t xml:space="preserve">EPJ Data Sci.</w:t>
      </w:r>
      <w:r>
        <w:t xml:space="preserve"> </w:t>
      </w:r>
      <w:r>
        <w:rPr>
          <w:bCs/>
          <w:b/>
        </w:rPr>
        <w:t xml:space="preserve">4</w:t>
      </w:r>
      <w:r>
        <w:t xml:space="preserve">, 2 (2015). https://doi.org/10.1140/epjds/s13688-015-0039-z</w:t>
      </w:r>
    </w:p>
    <w:p>
      <w:pPr>
        <w:numPr>
          <w:ilvl w:val="0"/>
          <w:numId w:val="1002"/>
        </w:numPr>
        <w:pStyle w:val="Compact"/>
      </w:pPr>
      <w:r>
        <w:t xml:space="preserve">Bennett, A. &amp; Peterson, R. A. (eds)</w:t>
      </w:r>
      <w:r>
        <w:t xml:space="preserve"> </w:t>
      </w:r>
      <w:r>
        <w:rPr>
          <w:iCs/>
          <w:i/>
        </w:rPr>
        <w:t xml:space="preserve">Music Scenes: Local, Translocal, and Virtual</w:t>
      </w:r>
      <w:r>
        <w:t xml:space="preserve"> </w:t>
      </w:r>
      <w:r>
        <w:t xml:space="preserve">(Vanderbilt Univ. Press, 2004).</w:t>
      </w:r>
    </w:p>
    <w:p>
      <w:pPr>
        <w:numPr>
          <w:ilvl w:val="0"/>
          <w:numId w:val="1002"/>
        </w:numPr>
        <w:pStyle w:val="Compact"/>
      </w:pPr>
      <w:r>
        <w:t xml:space="preserve">Connell, J. &amp; Gibson, C.</w:t>
      </w:r>
      <w:r>
        <w:t xml:space="preserve"> </w:t>
      </w:r>
      <w:r>
        <w:rPr>
          <w:iCs/>
          <w:i/>
        </w:rPr>
        <w:t xml:space="preserve">Sound Tracks: Popular Music, Identity and Place</w:t>
      </w:r>
      <w:r>
        <w:t xml:space="preserve"> </w:t>
      </w:r>
      <w:r>
        <w:t xml:space="preserve">(Routledge, 2003).</w:t>
      </w:r>
    </w:p>
    <w:p>
      <w:pPr>
        <w:numPr>
          <w:ilvl w:val="0"/>
          <w:numId w:val="1002"/>
        </w:numPr>
        <w:pStyle w:val="Compact"/>
      </w:pPr>
      <w:r>
        <w:t xml:space="preserve">Youngblood, M. Cultural transmission modes of music sampling traditions remain stable despite delocalization in the digital age.</w:t>
      </w:r>
      <w:r>
        <w:t xml:space="preserve"> </w:t>
      </w:r>
      <w:r>
        <w:rPr>
          <w:iCs/>
          <w:i/>
        </w:rPr>
        <w:t xml:space="preserve">PLoS ONE</w:t>
      </w:r>
      <w:r>
        <w:t xml:space="preserve"> </w:t>
      </w:r>
      <w:r>
        <w:rPr>
          <w:bCs/>
          <w:b/>
        </w:rPr>
        <w:t xml:space="preserve">14</w:t>
      </w:r>
      <w:r>
        <w:t xml:space="preserve">, e0211860 (2019). https://doi.org/10.1371/journal.pone.0211860</w:t>
      </w:r>
    </w:p>
    <w:p>
      <w:pPr>
        <w:numPr>
          <w:ilvl w:val="0"/>
          <w:numId w:val="1002"/>
        </w:numPr>
        <w:pStyle w:val="Compact"/>
      </w:pPr>
      <w:r>
        <w:t xml:space="preserve">Brown, S. et al. Correlations in the population structure of music, genes and language.</w:t>
      </w:r>
      <w:r>
        <w:t xml:space="preserve"> </w:t>
      </w:r>
      <w:r>
        <w:rPr>
          <w:iCs/>
          <w:i/>
        </w:rPr>
        <w:t xml:space="preserve">Proc. R. Soc. B</w:t>
      </w:r>
      <w:r>
        <w:t xml:space="preserve"> </w:t>
      </w:r>
      <w:r>
        <w:rPr>
          <w:bCs/>
          <w:b/>
        </w:rPr>
        <w:t xml:space="preserve">281</w:t>
      </w:r>
      <w:r>
        <w:t xml:space="preserve">, 20132072 (2014). https://doi.org/10.1098/rspb.2013.2072</w:t>
      </w:r>
    </w:p>
    <w:p>
      <w:pPr>
        <w:numPr>
          <w:ilvl w:val="0"/>
          <w:numId w:val="1002"/>
        </w:numPr>
        <w:pStyle w:val="Compact"/>
      </w:pPr>
      <w:r>
        <w:t xml:space="preserve">Passmore, S. et al. Global musical diversity is largely independent of linguistic and genetic histories.</w:t>
      </w:r>
      <w:r>
        <w:t xml:space="preserve"> </w:t>
      </w:r>
      <w:r>
        <w:rPr>
          <w:iCs/>
          <w:i/>
        </w:rPr>
        <w:t xml:space="preserve">Nat. Commun.</w:t>
      </w:r>
      <w:r>
        <w:t xml:space="preserve"> </w:t>
      </w:r>
      <w:r>
        <w:rPr>
          <w:bCs/>
          <w:b/>
        </w:rPr>
        <w:t xml:space="preserve">15</w:t>
      </w:r>
      <w:r>
        <w:t xml:space="preserve"> </w:t>
      </w:r>
      <w:r>
        <w:t xml:space="preserve">(2024). https://doi.org/10.1038/s41467-024-48113-7</w:t>
      </w:r>
    </w:p>
    <w:p>
      <w:pPr>
        <w:numPr>
          <w:ilvl w:val="0"/>
          <w:numId w:val="1002"/>
        </w:numPr>
        <w:pStyle w:val="Compact"/>
      </w:pPr>
      <w:r>
        <w:t xml:space="preserve">Lee, H., Polak, R., Anglada-Tort, M., Schönwiesner, M., Park, M. &amp; Jacoby, N. Do melody and rhythm coevolve? Preprint at arXiv:2605.05982 (2026).</w:t>
      </w:r>
    </w:p>
    <w:p>
      <w:pPr>
        <w:numPr>
          <w:ilvl w:val="0"/>
          <w:numId w:val="1002"/>
        </w:numPr>
        <w:pStyle w:val="Compact"/>
      </w:pPr>
      <w:r>
        <w:t xml:space="preserve">Parmer, T. &amp; Ahn, Y.-Y. Evolution of the informational complexity of contemporary Western music. In</w:t>
      </w:r>
      <w:r>
        <w:t xml:space="preserve"> </w:t>
      </w:r>
      <w:r>
        <w:rPr>
          <w:iCs/>
          <w:i/>
        </w:rPr>
        <w:t xml:space="preserve">Proc. ISMIR 2019</w:t>
      </w:r>
      <w:r>
        <w:t xml:space="preserve">, 175–182 (2019).</w:t>
      </w:r>
    </w:p>
    <w:p>
      <w:pPr>
        <w:numPr>
          <w:ilvl w:val="0"/>
          <w:numId w:val="1002"/>
        </w:numPr>
        <w:pStyle w:val="Compact"/>
      </w:pPr>
      <w:r>
        <w:t xml:space="preserve">Warrell, J., Salichos, L., Gancz, M. &amp; Gerstein, M. B. Latent evolutionary signatures: a general framework for analysing music and cultural evolution.</w:t>
      </w:r>
      <w:r>
        <w:t xml:space="preserve"> </w:t>
      </w:r>
      <w:r>
        <w:rPr>
          <w:iCs/>
          <w:i/>
        </w:rPr>
        <w:t xml:space="preserve">J. R. Soc. Interface</w:t>
      </w:r>
      <w:r>
        <w:t xml:space="preserve"> </w:t>
      </w:r>
      <w:r>
        <w:rPr>
          <w:bCs/>
          <w:b/>
        </w:rPr>
        <w:t xml:space="preserve">21</w:t>
      </w:r>
      <w:r>
        <w:t xml:space="preserve">, 20230647 (2024). https://doi.org/10.1098/rsif.2023.0647</w:t>
      </w:r>
    </w:p>
    <w:p>
      <w:pPr>
        <w:numPr>
          <w:ilvl w:val="0"/>
          <w:numId w:val="1002"/>
        </w:numPr>
        <w:pStyle w:val="Compact"/>
      </w:pPr>
      <w:r>
        <w:t xml:space="preserve">Di Marco, N., Loru, E., Galeazzi, A., Cinelli, M. &amp; Quattrociocchi, W. Decoding musical evolution through network science. Preprint at arXiv:2501.07557 (2025).</w:t>
      </w:r>
    </w:p>
    <w:p>
      <w:pPr>
        <w:numPr>
          <w:ilvl w:val="0"/>
          <w:numId w:val="1002"/>
        </w:numPr>
        <w:pStyle w:val="Compact"/>
      </w:pPr>
      <w:r>
        <w:t xml:space="preserve">Neuwirth, M., Harasim, D., Moss, F. C. &amp; Rohrmeier, M. The Annotated Beethoven Corpus (ABC): a dataset of harmonic analyses of all Beethoven string quartets.</w:t>
      </w:r>
      <w:r>
        <w:t xml:space="preserve"> </w:t>
      </w:r>
      <w:r>
        <w:rPr>
          <w:iCs/>
          <w:i/>
        </w:rPr>
        <w:t xml:space="preserve">Front. Digit. Humanit.</w:t>
      </w:r>
      <w:r>
        <w:t xml:space="preserve"> </w:t>
      </w:r>
      <w:r>
        <w:rPr>
          <w:bCs/>
          <w:b/>
        </w:rPr>
        <w:t xml:space="preserve">5</w:t>
      </w:r>
      <w:r>
        <w:t xml:space="preserve">, 16 (2018). https://doi.org/10.3389/fdigh.2018.00016</w:t>
      </w:r>
    </w:p>
    <w:p>
      <w:pPr>
        <w:numPr>
          <w:ilvl w:val="0"/>
          <w:numId w:val="1002"/>
        </w:numPr>
        <w:pStyle w:val="Compact"/>
      </w:pPr>
      <w:r>
        <w:t xml:space="preserve">Hentschel, J., Neuwirth, M. &amp; Rohrmeier, M. The Annotated Mozart Sonatas: score, harmony, and cadence.</w:t>
      </w:r>
      <w:r>
        <w:t xml:space="preserve"> </w:t>
      </w:r>
      <w:r>
        <w:rPr>
          <w:iCs/>
          <w:i/>
        </w:rPr>
        <w:t xml:space="preserve">Trans. Int. Soc. Music Inf. Retr.</w:t>
      </w:r>
      <w:r>
        <w:t xml:space="preserve"> </w:t>
      </w:r>
      <w:r>
        <w:rPr>
          <w:bCs/>
          <w:b/>
        </w:rPr>
        <w:t xml:space="preserve">4</w:t>
      </w:r>
      <w:r>
        <w:t xml:space="preserve">, 67–80 (2021). https://doi.org/10.5334/tismir.63</w:t>
      </w:r>
    </w:p>
    <w:p>
      <w:pPr>
        <w:numPr>
          <w:ilvl w:val="0"/>
          <w:numId w:val="1002"/>
        </w:numPr>
        <w:pStyle w:val="Compact"/>
      </w:pPr>
      <w:r>
        <w:t xml:space="preserve">Hentschel, J., Rammos, Y., Moss, F. C., Neuwirth, M. &amp; Rohrmeier, M. A. An annotated corpus of tonal piano music from the long 19th century.</w:t>
      </w:r>
      <w:r>
        <w:t xml:space="preserve"> </w:t>
      </w:r>
      <w:r>
        <w:rPr>
          <w:iCs/>
          <w:i/>
        </w:rPr>
        <w:t xml:space="preserve">Empir. Musicol. Rev.</w:t>
      </w:r>
      <w:r>
        <w:t xml:space="preserve"> </w:t>
      </w:r>
      <w:r>
        <w:rPr>
          <w:bCs/>
          <w:b/>
        </w:rPr>
        <w:t xml:space="preserve">18</w:t>
      </w:r>
      <w:r>
        <w:t xml:space="preserve">, 84–95 (2023). https://doi.org/10.18061/emr.v18i1.8903</w:t>
      </w:r>
    </w:p>
    <w:p>
      <w:pPr>
        <w:numPr>
          <w:ilvl w:val="0"/>
          <w:numId w:val="1002"/>
        </w:numPr>
        <w:pStyle w:val="Compact"/>
      </w:pPr>
      <w:r>
        <w:t xml:space="preserve">Gotham, M., Micchi, G., Nápoles López, N. &amp; Sailor, M. When in Rome: a meta-corpus of functional harmony.</w:t>
      </w:r>
      <w:r>
        <w:t xml:space="preserve"> </w:t>
      </w:r>
      <w:r>
        <w:rPr>
          <w:iCs/>
          <w:i/>
        </w:rPr>
        <w:t xml:space="preserve">Trans. Int. Soc. Music Inf. Retr.</w:t>
      </w:r>
      <w:r>
        <w:t xml:space="preserve"> </w:t>
      </w:r>
      <w:r>
        <w:rPr>
          <w:bCs/>
          <w:b/>
        </w:rPr>
        <w:t xml:space="preserve">6</w:t>
      </w:r>
      <w:r>
        <w:t xml:space="preserve">, 150–166 (2023). https://doi.org/10.5334/tismir.165</w:t>
      </w:r>
    </w:p>
    <w:p>
      <w:pPr>
        <w:numPr>
          <w:ilvl w:val="0"/>
          <w:numId w:val="1002"/>
        </w:numPr>
        <w:pStyle w:val="Compact"/>
      </w:pPr>
      <w:r>
        <w:t xml:space="preserve">Burgoyne, J. A., Wild, J. &amp; Fujinaga, I. An expert ground-truth set for audio chord recognition and music analysis. In</w:t>
      </w:r>
      <w:r>
        <w:t xml:space="preserve"> </w:t>
      </w:r>
      <w:r>
        <w:rPr>
          <w:iCs/>
          <w:i/>
        </w:rPr>
        <w:t xml:space="preserve">Proc. ISMIR 2011</w:t>
      </w:r>
      <w:r>
        <w:t xml:space="preserve">, 633–638 (2011).</w:t>
      </w:r>
    </w:p>
    <w:p>
      <w:pPr>
        <w:numPr>
          <w:ilvl w:val="0"/>
          <w:numId w:val="1002"/>
        </w:numPr>
        <w:pStyle w:val="Compact"/>
      </w:pPr>
      <w:r>
        <w:t xml:space="preserve">Pfleiderer, M., Frieler, K., Abeßer, J., Zaddach, W.-G. &amp; Burkhart, B. (eds)</w:t>
      </w:r>
      <w:r>
        <w:t xml:space="preserve"> </w:t>
      </w:r>
      <w:r>
        <w:rPr>
          <w:iCs/>
          <w:i/>
        </w:rPr>
        <w:t xml:space="preserve">Inside the Jazzomat: New Perspectives for Jazz Research</w:t>
      </w:r>
      <w:r>
        <w:t xml:space="preserve"> </w:t>
      </w:r>
      <w:r>
        <w:t xml:space="preserve">(Schott Campus, 2017).</w:t>
      </w:r>
    </w:p>
    <w:p>
      <w:pPr>
        <w:numPr>
          <w:ilvl w:val="0"/>
          <w:numId w:val="1002"/>
        </w:numPr>
        <w:pStyle w:val="Compact"/>
      </w:pPr>
      <w:r>
        <w:t xml:space="preserve">Frieler, K. Constructing jazz lines: taxonomy, vocabulary, grammar. In</w:t>
      </w:r>
      <w:r>
        <w:t xml:space="preserve"> </w:t>
      </w:r>
      <w:r>
        <w:rPr>
          <w:iCs/>
          <w:i/>
        </w:rPr>
        <w:t xml:space="preserve">Jazzforschung heute</w:t>
      </w:r>
      <w:r>
        <w:t xml:space="preserve"> </w:t>
      </w:r>
      <w:r>
        <w:t xml:space="preserve">(eds Pfleiderer, M. &amp; Zaddach, W.-G.) 104–131 (Edition EMVAS, 2019).</w:t>
      </w:r>
    </w:p>
    <w:p>
      <w:pPr>
        <w:numPr>
          <w:ilvl w:val="0"/>
          <w:numId w:val="1002"/>
        </w:numPr>
        <w:pStyle w:val="Compact"/>
      </w:pPr>
      <w:r>
        <w:t xml:space="preserve">Meeùs, N. Toward a post-Schoenbergian grammar of tonal and pre-tonal harmonic progressions.</w:t>
      </w:r>
      <w:r>
        <w:t xml:space="preserve"> </w:t>
      </w:r>
      <w:r>
        <w:rPr>
          <w:iCs/>
          <w:i/>
        </w:rPr>
        <w:t xml:space="preserve">Music Theory Online</w:t>
      </w:r>
      <w:r>
        <w:t xml:space="preserve"> </w:t>
      </w:r>
      <w:r>
        <w:rPr>
          <w:bCs/>
          <w:b/>
        </w:rPr>
        <w:t xml:space="preserve">6</w:t>
      </w:r>
      <w:r>
        <w:t xml:space="preserve">(1) (2000).</w:t>
      </w:r>
    </w:p>
    <w:p>
      <w:pPr>
        <w:numPr>
          <w:ilvl w:val="0"/>
          <w:numId w:val="1002"/>
        </w:numPr>
        <w:pStyle w:val="Compact"/>
      </w:pPr>
      <w:r>
        <w:t xml:space="preserve">de Clercq, T. How should corpus studies of harmony in popular music handle the minor tonic? In</w:t>
      </w:r>
      <w:r>
        <w:t xml:space="preserve"> </w:t>
      </w:r>
      <w:r>
        <w:rPr>
          <w:iCs/>
          <w:i/>
        </w:rPr>
        <w:t xml:space="preserve">Proc. Future Directions of Music Cognition</w:t>
      </w:r>
      <w:r>
        <w:t xml:space="preserve"> </w:t>
      </w:r>
      <w:r>
        <w:t xml:space="preserve">44–48 (2021). https://doi.org/10.18061/FDMC.2021.0006</w:t>
      </w:r>
    </w:p>
    <w:p>
      <w:pPr>
        <w:numPr>
          <w:ilvl w:val="0"/>
          <w:numId w:val="1002"/>
        </w:numPr>
        <w:pStyle w:val="Compact"/>
      </w:pPr>
      <w:r>
        <w:t xml:space="preserve">Gotham, M. Chromatic chords in theory and practice. In</w:t>
      </w:r>
      <w:r>
        <w:t xml:space="preserve"> </w:t>
      </w:r>
      <w:r>
        <w:rPr>
          <w:iCs/>
          <w:i/>
        </w:rPr>
        <w:t xml:space="preserve">Proc. ISMIR 2023</w:t>
      </w:r>
      <w:r>
        <w:t xml:space="preserve">, 272–278 (2023). https://doi.org/10.5281/zenodo.10265275</w:t>
      </w:r>
    </w:p>
    <w:p>
      <w:pPr>
        <w:numPr>
          <w:ilvl w:val="0"/>
          <w:numId w:val="1002"/>
        </w:numPr>
        <w:pStyle w:val="Compact"/>
      </w:pPr>
      <w:r>
        <w:t xml:space="preserve">Horn, K. &amp; Huron, D. On the changing use of the major and minor modes 1750–1900.</w:t>
      </w:r>
      <w:r>
        <w:t xml:space="preserve"> </w:t>
      </w:r>
      <w:r>
        <w:rPr>
          <w:iCs/>
          <w:i/>
        </w:rPr>
        <w:t xml:space="preserve">Music Theory Online</w:t>
      </w:r>
      <w:r>
        <w:t xml:space="preserve"> </w:t>
      </w:r>
      <w:r>
        <w:rPr>
          <w:bCs/>
          <w:b/>
        </w:rPr>
        <w:t xml:space="preserve">21</w:t>
      </w:r>
      <w:r>
        <w:t xml:space="preserve">(1) (2015).</w:t>
      </w:r>
    </w:p>
    <w:p>
      <w:pPr>
        <w:numPr>
          <w:ilvl w:val="0"/>
          <w:numId w:val="1002"/>
        </w:numPr>
        <w:pStyle w:val="Compact"/>
      </w:pPr>
      <w:r>
        <w:t xml:space="preserve">Jacoby, N., Tishby, N. &amp; Tymoczko, D. An information theoretic approach to chord categorization and functional harmony.</w:t>
      </w:r>
      <w:r>
        <w:t xml:space="preserve"> </w:t>
      </w:r>
      <w:r>
        <w:rPr>
          <w:iCs/>
          <w:i/>
        </w:rPr>
        <w:t xml:space="preserve">J. New Music Res.</w:t>
      </w:r>
      <w:r>
        <w:t xml:space="preserve"> </w:t>
      </w:r>
      <w:r>
        <w:rPr>
          <w:bCs/>
          <w:b/>
        </w:rPr>
        <w:t xml:space="preserve">44</w:t>
      </w:r>
      <w:r>
        <w:t xml:space="preserve">, 219–244 (2015). https://doi.org/10.1080/09298215.2015.1036888</w:t>
      </w:r>
    </w:p>
    <w:p>
      <w:pPr>
        <w:numPr>
          <w:ilvl w:val="0"/>
          <w:numId w:val="1002"/>
        </w:numPr>
        <w:pStyle w:val="Compact"/>
      </w:pPr>
      <w:r>
        <w:t xml:space="preserve">Moore, A. F. The so-called</w:t>
      </w:r>
      <w:r>
        <w:t xml:space="preserve"> </w:t>
      </w:r>
      <w:r>
        <w:t xml:space="preserve">“</w:t>
      </w:r>
      <w:r>
        <w:t xml:space="preserve">flattened seventh</w:t>
      </w:r>
      <w:r>
        <w:t xml:space="preserve">”</w:t>
      </w:r>
      <w:r>
        <w:t xml:space="preserve"> </w:t>
      </w:r>
      <w:r>
        <w:t xml:space="preserve">in rock.</w:t>
      </w:r>
      <w:r>
        <w:t xml:space="preserve"> </w:t>
      </w:r>
      <w:r>
        <w:rPr>
          <w:iCs/>
          <w:i/>
        </w:rPr>
        <w:t xml:space="preserve">Pop. Music</w:t>
      </w:r>
      <w:r>
        <w:t xml:space="preserve"> </w:t>
      </w:r>
      <w:r>
        <w:rPr>
          <w:bCs/>
          <w:b/>
        </w:rPr>
        <w:t xml:space="preserve">14</w:t>
      </w:r>
      <w:r>
        <w:t xml:space="preserve">, 185–201 (1995). (fill: confirm)</w:t>
      </w:r>
    </w:p>
    <w:p>
      <w:pPr>
        <w:numPr>
          <w:ilvl w:val="0"/>
          <w:numId w:val="1002"/>
        </w:numPr>
        <w:pStyle w:val="Compact"/>
      </w:pPr>
      <w:r>
        <w:t xml:space="preserve">Caplin, W. E.</w:t>
      </w:r>
      <w:r>
        <w:t xml:space="preserve"> </w:t>
      </w:r>
      <w:r>
        <w:rPr>
          <w:iCs/>
          <w:i/>
        </w:rPr>
        <w:t xml:space="preserve">Classical Form</w:t>
      </w:r>
      <w:r>
        <w:t xml:space="preserve"> </w:t>
      </w:r>
      <w:r>
        <w:t xml:space="preserve">(Oxford Univ. Press, 1998).</w:t>
      </w:r>
    </w:p>
    <w:p>
      <w:pPr>
        <w:numPr>
          <w:ilvl w:val="0"/>
          <w:numId w:val="1002"/>
        </w:numPr>
        <w:pStyle w:val="Compact"/>
      </w:pPr>
      <w:r>
        <w:t xml:space="preserve">Henzel, B., Müller, M. &amp; Weiß, C. Style evolution in Western choral music: a corpus-based strategy.</w:t>
      </w:r>
      <w:r>
        <w:t xml:space="preserve"> </w:t>
      </w:r>
      <w:r>
        <w:rPr>
          <w:iCs/>
          <w:i/>
        </w:rPr>
        <w:t xml:space="preserve">Comput. Humanit. Res.</w:t>
      </w:r>
      <w:r>
        <w:t xml:space="preserve"> </w:t>
      </w:r>
      <w:r>
        <w:rPr>
          <w:bCs/>
          <w:b/>
        </w:rPr>
        <w:t xml:space="preserve">1</w:t>
      </w:r>
      <w:r>
        <w:t xml:space="preserve">, e13 (2025). https://doi.org/10.1017/chr.2025.10016</w:t>
      </w:r>
    </w:p>
    <w:p>
      <w:pPr>
        <w:numPr>
          <w:ilvl w:val="0"/>
          <w:numId w:val="1002"/>
        </w:numPr>
        <w:pStyle w:val="Compact"/>
      </w:pPr>
      <w:r>
        <w:t xml:space="preserve">Chander, A. &amp; Quinn, I. The decline of harmonic schemata in popular music chord loops. EasyChair Preprint 10295 (2023).</w:t>
      </w:r>
    </w:p>
    <w:p>
      <w:pPr>
        <w:numPr>
          <w:ilvl w:val="0"/>
          <w:numId w:val="1002"/>
        </w:numPr>
        <w:pStyle w:val="Compact"/>
      </w:pPr>
      <w:r>
        <w:t xml:space="preserve">Moss, F. C.</w:t>
      </w:r>
      <w:r>
        <w:t xml:space="preserve"> </w:t>
      </w:r>
      <w:r>
        <w:rPr>
          <w:iCs/>
          <w:i/>
        </w:rPr>
        <w:t xml:space="preserve">Transitions of Tonality: A Model-Based Corpus Study</w:t>
      </w:r>
      <w:r>
        <w:t xml:space="preserve">. PhD thesis, EPFL (2019).</w:t>
      </w:r>
    </w:p>
    <w:p>
      <w:pPr>
        <w:numPr>
          <w:ilvl w:val="0"/>
          <w:numId w:val="1002"/>
        </w:numPr>
        <w:pStyle w:val="Compact"/>
      </w:pPr>
      <w:r>
        <w:t xml:space="preserve">Albrecht, J. D. &amp; Huron, D. A statistical approach to tracing the historical development of major and minor pitch distributions, 1400–1750.</w:t>
      </w:r>
      <w:r>
        <w:t xml:space="preserve"> </w:t>
      </w:r>
      <w:r>
        <w:rPr>
          <w:iCs/>
          <w:i/>
        </w:rPr>
        <w:t xml:space="preserve">Music Percept.</w:t>
      </w:r>
      <w:r>
        <w:t xml:space="preserve"> </w:t>
      </w:r>
      <w:r>
        <w:rPr>
          <w:bCs/>
          <w:b/>
        </w:rPr>
        <w:t xml:space="preserve">31</w:t>
      </w:r>
      <w:r>
        <w:t xml:space="preserve">, 223–243 (2014). (fill: confirm)</w:t>
      </w:r>
    </w:p>
    <w:p>
      <w:pPr>
        <w:numPr>
          <w:ilvl w:val="0"/>
          <w:numId w:val="1002"/>
        </w:numPr>
        <w:pStyle w:val="Compact"/>
      </w:pPr>
      <w:r>
        <w:t xml:space="preserve">Kantarelis, S. et al. Chordonomicon: a dataset of 666,000 songs and their chord progressions. Preprint at arXiv:2410.22046 (2024).</w:t>
      </w:r>
    </w:p>
    <w:p>
      <w:pPr>
        <w:numPr>
          <w:ilvl w:val="0"/>
          <w:numId w:val="1002"/>
        </w:numPr>
        <w:pStyle w:val="Compact"/>
      </w:pPr>
      <w:r>
        <w:t xml:space="preserve">Dueñas, M. &amp; Mandel, A. The structure of global cultural networks: evidence from the diffusion of music videos.</w:t>
      </w:r>
      <w:r>
        <w:t xml:space="preserve"> </w:t>
      </w:r>
      <w:r>
        <w:rPr>
          <w:iCs/>
          <w:i/>
        </w:rPr>
        <w:t xml:space="preserve">PLoS ONE</w:t>
      </w:r>
      <w:r>
        <w:t xml:space="preserve"> </w:t>
      </w:r>
      <w:r>
        <w:rPr>
          <w:bCs/>
          <w:b/>
        </w:rPr>
        <w:t xml:space="preserve">18</w:t>
      </w:r>
      <w:r>
        <w:t xml:space="preserve">, e0294149 (2023). https://doi.org/10.1371/journal.pone.0294149</w:t>
      </w:r>
    </w:p>
    <w:p>
      <w:pPr>
        <w:numPr>
          <w:ilvl w:val="0"/>
          <w:numId w:val="1002"/>
        </w:numPr>
        <w:pStyle w:val="Compact"/>
      </w:pPr>
      <w:r>
        <w:t xml:space="preserve">Moss, F. C., Neuwirth, M., Harasim, D. &amp; Rohrmeier, M. Statistical characteristics of tonal harmony: a corpus study of Beethoven’s string quartets.</w:t>
      </w:r>
      <w:r>
        <w:t xml:space="preserve"> </w:t>
      </w:r>
      <w:r>
        <w:rPr>
          <w:iCs/>
          <w:i/>
        </w:rPr>
        <w:t xml:space="preserve">PLoS ONE</w:t>
      </w:r>
      <w:r>
        <w:t xml:space="preserve"> </w:t>
      </w:r>
      <w:r>
        <w:rPr>
          <w:bCs/>
          <w:b/>
        </w:rPr>
        <w:t xml:space="preserve">14</w:t>
      </w:r>
      <w:r>
        <w:t xml:space="preserve">, e0217242 (2019). https://doi.org/10.1371/journal.pone.0217242</w:t>
      </w:r>
    </w:p>
    <w:bookmarkEnd w:id="46"/>
    <w:bookmarkStart w:id="47" w:name="表格"/>
    <w:p>
      <w:pPr>
        <w:pStyle w:val="Heading2"/>
      </w:pPr>
      <w:r>
        <w:t xml:space="preserve">表格</w:t>
      </w:r>
    </w:p>
    <w:p>
      <w:pPr>
        <w:pStyle w:val="FirstParagraph"/>
      </w:pPr>
      <w:r>
        <w:rPr>
          <w:bCs/>
          <w:b/>
        </w:rPr>
        <w:t xml:space="preserve">表1. 语料库。</w:t>
      </w:r>
      <w:r>
        <w:t xml:space="preserve"> </w:t>
      </w:r>
      <w:r>
        <w:t xml:space="preserve">作品数为合并重复和弦后至少含有八个和弦事件的作品；年份为作品年代的范围。</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语料库</w:t>
            </w:r>
          </w:p>
        </w:tc>
        <w:tc>
          <w:tcPr/>
          <w:p>
            <w:pPr>
              <w:pStyle w:val="Compact"/>
              <w:jc w:val="left"/>
            </w:pPr>
            <w:r>
              <w:t xml:space="preserve">标注方式</w:t>
            </w:r>
          </w:p>
        </w:tc>
        <w:tc>
          <w:tcPr/>
          <w:p>
            <w:pPr>
              <w:pStyle w:val="Compact"/>
              <w:jc w:val="left"/>
            </w:pPr>
            <w:r>
              <w:t xml:space="preserve">作品数</w:t>
            </w:r>
          </w:p>
        </w:tc>
        <w:tc>
          <w:tcPr/>
          <w:p>
            <w:pPr>
              <w:pStyle w:val="Compact"/>
              <w:jc w:val="left"/>
            </w:pPr>
            <w:r>
              <w:t xml:space="preserve">和弦事件数</w:t>
            </w:r>
          </w:p>
        </w:tc>
        <w:tc>
          <w:tcPr/>
          <w:p>
            <w:pPr>
              <w:pStyle w:val="Compact"/>
              <w:jc w:val="left"/>
            </w:pPr>
            <w:r>
              <w:t xml:space="preserve">年份</w:t>
            </w:r>
          </w:p>
        </w:tc>
        <w:tc>
          <w:tcPr/>
          <w:p>
            <w:pPr>
              <w:pStyle w:val="Compact"/>
              <w:jc w:val="left"/>
            </w:pPr>
            <w:r>
              <w:t xml:space="preserve">年代依据</w:t>
            </w:r>
          </w:p>
        </w:tc>
      </w:tr>
      <w:tr>
        <w:tc>
          <w:tcPr/>
          <w:p>
            <w:pPr>
              <w:pStyle w:val="Compact"/>
              <w:jc w:val="left"/>
            </w:pPr>
            <w:r>
              <w:t xml:space="preserve">McGill Billboard</w:t>
            </w:r>
          </w:p>
        </w:tc>
        <w:tc>
          <w:tcPr/>
          <w:p>
            <w:pPr>
              <w:pStyle w:val="Compact"/>
              <w:jc w:val="left"/>
            </w:pPr>
            <w:r>
              <w:t xml:space="preserve">带主音的Harte和弦符号</w:t>
            </w:r>
          </w:p>
        </w:tc>
        <w:tc>
          <w:tcPr/>
          <w:p>
            <w:pPr>
              <w:pStyle w:val="Compact"/>
              <w:jc w:val="left"/>
            </w:pPr>
            <w:r>
              <w:t xml:space="preserve">876</w:t>
            </w:r>
          </w:p>
        </w:tc>
        <w:tc>
          <w:tcPr/>
          <w:p>
            <w:pPr>
              <w:pStyle w:val="Compact"/>
              <w:jc w:val="left"/>
            </w:pPr>
            <w:r>
              <w:t xml:space="preserve">84,413</w:t>
            </w:r>
          </w:p>
        </w:tc>
        <w:tc>
          <w:tcPr/>
          <w:p>
            <w:pPr>
              <w:pStyle w:val="Compact"/>
              <w:jc w:val="left"/>
            </w:pPr>
            <w:r>
              <w:t xml:space="preserve">1958–1991</w:t>
            </w:r>
          </w:p>
        </w:tc>
        <w:tc>
          <w:tcPr/>
          <w:p>
            <w:pPr>
              <w:pStyle w:val="Compact"/>
              <w:jc w:val="left"/>
            </w:pPr>
            <w:r>
              <w:t xml:space="preserve">进入排行榜年份</w:t>
            </w:r>
          </w:p>
        </w:tc>
      </w:tr>
      <w:tr>
        <w:tc>
          <w:tcPr/>
          <w:p>
            <w:pPr>
              <w:pStyle w:val="Compact"/>
              <w:jc w:val="left"/>
            </w:pPr>
            <w:r>
              <w:t xml:space="preserve">Distant Listening Corpus (DCML, EPFL)</w:t>
            </w:r>
          </w:p>
        </w:tc>
        <w:tc>
          <w:tcPr/>
          <w:p>
            <w:pPr>
              <w:pStyle w:val="Compact"/>
              <w:jc w:val="left"/>
            </w:pPr>
            <w:r>
              <w:t xml:space="preserve">罗马数字标记，DCML标准</w:t>
            </w:r>
          </w:p>
        </w:tc>
        <w:tc>
          <w:tcPr/>
          <w:p>
            <w:pPr>
              <w:pStyle w:val="Compact"/>
              <w:jc w:val="left"/>
            </w:pPr>
            <w:r>
              <w:t xml:space="preserve">1,280</w:t>
            </w:r>
          </w:p>
        </w:tc>
        <w:tc>
          <w:tcPr/>
          <w:p>
            <w:pPr>
              <w:pStyle w:val="Compact"/>
              <w:jc w:val="left"/>
            </w:pPr>
            <w:r>
              <w:t xml:space="preserve">206,289</w:t>
            </w:r>
          </w:p>
        </w:tc>
        <w:tc>
          <w:tcPr/>
          <w:p>
            <w:pPr>
              <w:pStyle w:val="Compact"/>
              <w:jc w:val="left"/>
            </w:pPr>
            <w:r>
              <w:t xml:space="preserve">1590–1931</w:t>
            </w:r>
          </w:p>
        </w:tc>
        <w:tc>
          <w:tcPr/>
          <w:p>
            <w:pPr>
              <w:pStyle w:val="Compact"/>
              <w:jc w:val="left"/>
            </w:pPr>
            <w:r>
              <w:t xml:space="preserve">语料库元数据中的创作年代</w:t>
            </w:r>
          </w:p>
        </w:tc>
      </w:tr>
      <w:tr>
        <w:tc>
          <w:tcPr/>
          <w:p>
            <w:pPr>
              <w:pStyle w:val="Compact"/>
              <w:jc w:val="left"/>
            </w:pPr>
            <w:r>
              <w:t xml:space="preserve">Rock Corpus (RS200)</w:t>
            </w:r>
          </w:p>
        </w:tc>
        <w:tc>
          <w:tcPr/>
          <w:p>
            <w:pPr>
              <w:pStyle w:val="Compact"/>
              <w:jc w:val="left"/>
            </w:pPr>
            <w:r>
              <w:t xml:space="preserve">罗马数字标记</w:t>
            </w:r>
          </w:p>
        </w:tc>
        <w:tc>
          <w:tcPr/>
          <w:p>
            <w:pPr>
              <w:pStyle w:val="Compact"/>
              <w:jc w:val="left"/>
            </w:pPr>
            <w:r>
              <w:t xml:space="preserve">193</w:t>
            </w:r>
          </w:p>
        </w:tc>
        <w:tc>
          <w:tcPr/>
          <w:p>
            <w:pPr>
              <w:pStyle w:val="Compact"/>
              <w:jc w:val="left"/>
            </w:pPr>
            <w:r>
              <w:t xml:space="preserve">18,247</w:t>
            </w:r>
          </w:p>
        </w:tc>
        <w:tc>
          <w:tcPr/>
          <w:p>
            <w:pPr>
              <w:pStyle w:val="Compact"/>
              <w:jc w:val="left"/>
            </w:pPr>
            <w:r>
              <w:t xml:space="preserve">1949–2002</w:t>
            </w:r>
          </w:p>
        </w:tc>
        <w:tc>
          <w:tcPr/>
          <w:p>
            <w:pPr>
              <w:pStyle w:val="Compact"/>
              <w:jc w:val="left"/>
            </w:pPr>
            <w:r>
              <w:t xml:space="preserve">发行年份</w:t>
            </w:r>
          </w:p>
        </w:tc>
      </w:tr>
      <w:tr>
        <w:tc>
          <w:tcPr/>
          <w:p>
            <w:pPr>
              <w:pStyle w:val="Compact"/>
              <w:jc w:val="left"/>
            </w:pPr>
            <w:r>
              <w:t xml:space="preserve">Weimar Jazz Database</w:t>
            </w:r>
          </w:p>
        </w:tc>
        <w:tc>
          <w:tcPr/>
          <w:p>
            <w:pPr>
              <w:pStyle w:val="Compact"/>
              <w:jc w:val="left"/>
            </w:pPr>
            <w:r>
              <w:t xml:space="preserve">转录独奏之下的简谱（lead sheet）和弦符号</w:t>
            </w:r>
          </w:p>
        </w:tc>
        <w:tc>
          <w:tcPr/>
          <w:p>
            <w:pPr>
              <w:pStyle w:val="Compact"/>
              <w:jc w:val="left"/>
            </w:pPr>
            <w:r>
              <w:t xml:space="preserve">412</w:t>
            </w:r>
          </w:p>
        </w:tc>
        <w:tc>
          <w:tcPr/>
          <w:p>
            <w:pPr>
              <w:pStyle w:val="Compact"/>
              <w:jc w:val="left"/>
            </w:pPr>
            <w:r>
              <w:t xml:space="preserve">27,945</w:t>
            </w:r>
          </w:p>
        </w:tc>
        <w:tc>
          <w:tcPr/>
          <w:p>
            <w:pPr>
              <w:pStyle w:val="Compact"/>
              <w:jc w:val="left"/>
            </w:pPr>
            <w:r>
              <w:t xml:space="preserve">1925–2007</w:t>
            </w:r>
          </w:p>
        </w:tc>
        <w:tc>
          <w:tcPr/>
          <w:p>
            <w:pPr>
              <w:pStyle w:val="Compact"/>
              <w:jc w:val="left"/>
            </w:pPr>
            <w:r>
              <w:t xml:space="preserve">录音年份</w:t>
            </w:r>
          </w:p>
        </w:tc>
      </w:tr>
      <w:tr>
        <w:tc>
          <w:tcPr/>
          <w:p>
            <w:pPr>
              <w:pStyle w:val="Compact"/>
              <w:jc w:val="left"/>
            </w:pPr>
            <w:r>
              <w:t xml:space="preserve">When in Rome 元语料库</w:t>
            </w:r>
          </w:p>
        </w:tc>
        <w:tc>
          <w:tcPr/>
          <w:p>
            <w:pPr>
              <w:pStyle w:val="Compact"/>
              <w:jc w:val="left"/>
            </w:pPr>
            <w:r>
              <w:t xml:space="preserve">罗马数字标记，多种分析传统</w:t>
            </w:r>
          </w:p>
        </w:tc>
        <w:tc>
          <w:tcPr/>
          <w:p>
            <w:pPr>
              <w:pStyle w:val="Compact"/>
              <w:jc w:val="left"/>
            </w:pPr>
            <w:r>
              <w:t xml:space="preserve">778</w:t>
            </w:r>
          </w:p>
        </w:tc>
        <w:tc>
          <w:tcPr/>
          <w:p>
            <w:pPr>
              <w:pStyle w:val="Compact"/>
              <w:jc w:val="left"/>
            </w:pPr>
            <w:r>
              <w:t xml:space="preserve">74,596</w:t>
            </w:r>
          </w:p>
        </w:tc>
        <w:tc>
          <w:tcPr/>
          <w:p>
            <w:pPr>
              <w:pStyle w:val="Compact"/>
              <w:jc w:val="left"/>
            </w:pPr>
            <w:r>
              <w:t xml:space="preserve">1565–1915</w:t>
            </w:r>
          </w:p>
        </w:tc>
        <w:tc>
          <w:tcPr/>
          <w:p>
            <w:pPr>
              <w:pStyle w:val="Compact"/>
              <w:jc w:val="left"/>
            </w:pPr>
            <w:r>
              <w:t xml:space="preserve">按作品号或曲集，±5年</w:t>
            </w:r>
          </w:p>
        </w:tc>
      </w:tr>
      <w:tr>
        <w:tc>
          <w:tcPr/>
          <w:p>
            <w:pPr>
              <w:pStyle w:val="Compact"/>
              <w:jc w:val="left"/>
            </w:pPr>
            <w:r>
              <w:rPr>
                <w:bCs/>
                <w:b/>
              </w:rPr>
              <w:t xml:space="preserve">合计</w:t>
            </w:r>
          </w:p>
        </w:tc>
        <w:tc>
          <w:tcPr/>
          <w:p>
            <w:pPr>
              <w:pStyle w:val="Compact"/>
            </w:pPr>
          </w:p>
        </w:tc>
        <w:tc>
          <w:tcPr/>
          <w:p>
            <w:pPr>
              <w:pStyle w:val="Compact"/>
              <w:jc w:val="left"/>
            </w:pPr>
            <w:r>
              <w:rPr>
                <w:bCs/>
                <w:b/>
              </w:rPr>
              <w:t xml:space="preserve">3,539</w:t>
            </w:r>
          </w:p>
        </w:tc>
        <w:tc>
          <w:tcPr/>
          <w:p>
            <w:pPr>
              <w:pStyle w:val="Compact"/>
              <w:jc w:val="left"/>
            </w:pPr>
            <w:r>
              <w:rPr>
                <w:bCs/>
                <w:b/>
              </w:rPr>
              <w:t xml:space="preserve">411,490</w:t>
            </w:r>
          </w:p>
        </w:tc>
        <w:tc>
          <w:tcPr/>
          <w:p>
            <w:pPr>
              <w:pStyle w:val="Compact"/>
              <w:jc w:val="left"/>
            </w:pPr>
            <w:r>
              <w:t xml:space="preserve">1565–2007</w:t>
            </w:r>
          </w:p>
        </w:tc>
        <w:tc>
          <w:tcPr/>
          <w:p>
            <w:pPr>
              <w:pStyle w:val="Compact"/>
            </w:pPr>
          </w:p>
        </w:tc>
      </w:tr>
    </w:tbl>
    <w:p>
      <w:pPr>
        <w:pStyle w:val="BodyText"/>
      </w:pPr>
      <w:r>
        <w:rPr>
          <w:bCs/>
          <w:b/>
        </w:rPr>
        <w:t xml:space="preserve">表2. 各时期汇总。</w:t>
      </w:r>
      <w:r>
        <w:t xml:space="preserve"> </w:t>
      </w:r>
      <w:r>
        <w:t xml:space="preserve">(a) 和弦性质、词汇量与可预测性；(b) 终止句法与根音进行。数值为各作品数值的均值（百分比），括号内为95%按作曲家聚类的自助法区间；Vocab/40 为40个和弦中不同和弦类型的期望数；熵为给定当前和弦时下一和弦的合并熵。流行音乐的七和弦率与扩展音率仅来自Billboard。小调%为小调作品所占比例。</w:t>
      </w:r>
    </w:p>
    <w:p>
      <w:pPr>
        <w:pStyle w:val="BodyText"/>
      </w:pPr>
      <w:r>
        <w:rPr>
          <w:bCs/>
          <w:b/>
        </w:rPr>
        <w:t xml:space="preserve">(a)</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时期</w:t>
            </w:r>
          </w:p>
        </w:tc>
        <w:tc>
          <w:tcPr/>
          <w:p>
            <w:pPr>
              <w:pStyle w:val="Compact"/>
              <w:jc w:val="left"/>
            </w:pPr>
            <w:r>
              <w:t xml:space="preserve">作品数</w:t>
            </w:r>
          </w:p>
        </w:tc>
        <w:tc>
          <w:tcPr/>
          <w:p>
            <w:pPr>
              <w:pStyle w:val="Compact"/>
              <w:jc w:val="left"/>
            </w:pPr>
            <w:r>
              <w:t xml:space="preserve">作曲家数</w:t>
            </w:r>
          </w:p>
        </w:tc>
        <w:tc>
          <w:tcPr/>
          <w:p>
            <w:pPr>
              <w:pStyle w:val="Compact"/>
              <w:jc w:val="left"/>
            </w:pPr>
            <w:r>
              <w:t xml:space="preserve">小调 %</w:t>
            </w:r>
          </w:p>
        </w:tc>
        <w:tc>
          <w:tcPr/>
          <w:p>
            <w:pPr>
              <w:pStyle w:val="Compact"/>
              <w:jc w:val="left"/>
            </w:pPr>
            <w:r>
              <w:t xml:space="preserve">七和弦</w:t>
            </w:r>
          </w:p>
        </w:tc>
        <w:tc>
          <w:tcPr/>
          <w:p>
            <w:pPr>
              <w:pStyle w:val="Compact"/>
              <w:jc w:val="left"/>
            </w:pPr>
            <w:r>
              <w:t xml:space="preserve">九音及以上</w:t>
            </w:r>
          </w:p>
        </w:tc>
        <w:tc>
          <w:tcPr/>
          <w:p>
            <w:pPr>
              <w:pStyle w:val="Compact"/>
              <w:jc w:val="left"/>
            </w:pPr>
            <w:r>
              <w:t xml:space="preserve">非自然音</w:t>
            </w:r>
          </w:p>
        </w:tc>
        <w:tc>
          <w:tcPr/>
          <w:p>
            <w:pPr>
              <w:pStyle w:val="Compact"/>
              <w:jc w:val="left"/>
            </w:pPr>
            <w:r>
              <w:t xml:space="preserve">半音根音</w:t>
            </w:r>
          </w:p>
        </w:tc>
        <w:tc>
          <w:tcPr/>
          <w:p>
            <w:pPr>
              <w:pStyle w:val="Compact"/>
              <w:jc w:val="left"/>
            </w:pPr>
            <w:r>
              <w:t xml:space="preserve">Vocab/40</w:t>
            </w:r>
          </w:p>
        </w:tc>
        <w:tc>
          <w:tcPr/>
          <w:p>
            <w:pPr>
              <w:pStyle w:val="Compact"/>
              <w:jc w:val="left"/>
            </w:pPr>
            <w:r>
              <w:t xml:space="preserve">熵（比特）</w:t>
            </w:r>
          </w:p>
        </w:tc>
      </w:tr>
      <w:tr>
        <w:tc>
          <w:tcPr/>
          <w:p>
            <w:pPr>
              <w:pStyle w:val="Compact"/>
              <w:jc w:val="left"/>
            </w:pPr>
            <w:r>
              <w:t xml:space="preserve">文艺复兴 &lt;1600</w:t>
            </w:r>
          </w:p>
        </w:tc>
        <w:tc>
          <w:tcPr/>
          <w:p>
            <w:pPr>
              <w:pStyle w:val="Compact"/>
              <w:jc w:val="left"/>
            </w:pPr>
            <w:r>
              <w:t xml:space="preserve">62</w:t>
            </w:r>
          </w:p>
        </w:tc>
        <w:tc>
          <w:tcPr/>
          <w:p>
            <w:pPr>
              <w:pStyle w:val="Compact"/>
              <w:jc w:val="left"/>
            </w:pPr>
            <w:r>
              <w:t xml:space="preserve">2</w:t>
            </w:r>
          </w:p>
        </w:tc>
        <w:tc>
          <w:tcPr/>
          <w:p>
            <w:pPr>
              <w:pStyle w:val="Compact"/>
              <w:jc w:val="left"/>
            </w:pPr>
            <w:r>
              <w:t xml:space="preserve">23</w:t>
            </w:r>
          </w:p>
        </w:tc>
        <w:tc>
          <w:tcPr/>
          <w:p>
            <w:pPr>
              <w:pStyle w:val="Compact"/>
              <w:jc w:val="left"/>
            </w:pPr>
            <w:r>
              <w:t xml:space="preserve">2 (0–5)</w:t>
            </w:r>
          </w:p>
        </w:tc>
        <w:tc>
          <w:tcPr/>
          <w:p>
            <w:pPr>
              <w:pStyle w:val="Compact"/>
              <w:jc w:val="left"/>
            </w:pPr>
            <w:r>
              <w:t xml:space="preserve">0 (0–0)</w:t>
            </w:r>
          </w:p>
        </w:tc>
        <w:tc>
          <w:tcPr/>
          <w:p>
            <w:pPr>
              <w:pStyle w:val="Compact"/>
              <w:jc w:val="left"/>
            </w:pPr>
            <w:r>
              <w:t xml:space="preserve">13 (7–23)</w:t>
            </w:r>
          </w:p>
        </w:tc>
        <w:tc>
          <w:tcPr/>
          <w:p>
            <w:pPr>
              <w:pStyle w:val="Compact"/>
              <w:jc w:val="left"/>
            </w:pPr>
            <w:r>
              <w:t xml:space="preserve">1 (1–1)</w:t>
            </w:r>
          </w:p>
        </w:tc>
        <w:tc>
          <w:tcPr/>
          <w:p>
            <w:pPr>
              <w:pStyle w:val="Compact"/>
              <w:jc w:val="left"/>
            </w:pPr>
            <w:r>
              <w:t xml:space="preserve">9.5 (7.9–11.9)</w:t>
            </w:r>
          </w:p>
        </w:tc>
        <w:tc>
          <w:tcPr/>
          <w:p>
            <w:pPr>
              <w:pStyle w:val="Compact"/>
              <w:jc w:val="left"/>
            </w:pPr>
            <w:r>
              <w:t xml:space="preserve">2.72</w:t>
            </w:r>
          </w:p>
        </w:tc>
      </w:tr>
      <w:tr>
        <w:tc>
          <w:tcPr/>
          <w:p>
            <w:pPr>
              <w:pStyle w:val="Compact"/>
              <w:jc w:val="left"/>
            </w:pPr>
            <w:r>
              <w:t xml:space="preserve">早期巴洛克 1600–99</w:t>
            </w:r>
          </w:p>
        </w:tc>
        <w:tc>
          <w:tcPr/>
          <w:p>
            <w:pPr>
              <w:pStyle w:val="Compact"/>
              <w:jc w:val="left"/>
            </w:pPr>
            <w:r>
              <w:t xml:space="preserve">296</w:t>
            </w:r>
          </w:p>
        </w:tc>
        <w:tc>
          <w:tcPr/>
          <w:p>
            <w:pPr>
              <w:pStyle w:val="Compact"/>
              <w:jc w:val="left"/>
            </w:pPr>
            <w:r>
              <w:t xml:space="preserve">7</w:t>
            </w:r>
          </w:p>
        </w:tc>
        <w:tc>
          <w:tcPr/>
          <w:p>
            <w:pPr>
              <w:pStyle w:val="Compact"/>
              <w:jc w:val="left"/>
            </w:pPr>
            <w:r>
              <w:t xml:space="preserve">64</w:t>
            </w:r>
          </w:p>
        </w:tc>
        <w:tc>
          <w:tcPr/>
          <w:p>
            <w:pPr>
              <w:pStyle w:val="Compact"/>
              <w:jc w:val="left"/>
            </w:pPr>
            <w:r>
              <w:t xml:space="preserve">15 (6–20)</w:t>
            </w:r>
          </w:p>
        </w:tc>
        <w:tc>
          <w:tcPr/>
          <w:p>
            <w:pPr>
              <w:pStyle w:val="Compact"/>
              <w:jc w:val="left"/>
            </w:pPr>
            <w:r>
              <w:t xml:space="preserve">3 (1–4)</w:t>
            </w:r>
          </w:p>
        </w:tc>
        <w:tc>
          <w:tcPr/>
          <w:p>
            <w:pPr>
              <w:pStyle w:val="Compact"/>
              <w:jc w:val="left"/>
            </w:pPr>
            <w:r>
              <w:t xml:space="preserve">22 (18–31)</w:t>
            </w:r>
          </w:p>
        </w:tc>
        <w:tc>
          <w:tcPr/>
          <w:p>
            <w:pPr>
              <w:pStyle w:val="Compact"/>
              <w:jc w:val="left"/>
            </w:pPr>
            <w:r>
              <w:t xml:space="preserve">3 (2–5)</w:t>
            </w:r>
          </w:p>
        </w:tc>
        <w:tc>
          <w:tcPr/>
          <w:p>
            <w:pPr>
              <w:pStyle w:val="Compact"/>
              <w:jc w:val="left"/>
            </w:pPr>
            <w:r>
              <w:t xml:space="preserve">14.1 (13.3–14.6)</w:t>
            </w:r>
          </w:p>
        </w:tc>
        <w:tc>
          <w:tcPr/>
          <w:p>
            <w:pPr>
              <w:pStyle w:val="Compact"/>
              <w:jc w:val="left"/>
            </w:pPr>
            <w:r>
              <w:t xml:space="preserve">3.50</w:t>
            </w:r>
          </w:p>
        </w:tc>
      </w:tr>
      <w:tr>
        <w:tc>
          <w:tcPr/>
          <w:p>
            <w:pPr>
              <w:pStyle w:val="Compact"/>
              <w:jc w:val="left"/>
            </w:pPr>
            <w:r>
              <w:t xml:space="preserve">晚期巴洛克 1700–49</w:t>
            </w:r>
          </w:p>
        </w:tc>
        <w:tc>
          <w:tcPr/>
          <w:p>
            <w:pPr>
              <w:pStyle w:val="Compact"/>
              <w:jc w:val="left"/>
            </w:pPr>
            <w:r>
              <w:t xml:space="preserve">739</w:t>
            </w:r>
          </w:p>
        </w:tc>
        <w:tc>
          <w:tcPr/>
          <w:p>
            <w:pPr>
              <w:pStyle w:val="Compact"/>
              <w:jc w:val="left"/>
            </w:pPr>
            <w:r>
              <w:t xml:space="preserve">6</w:t>
            </w:r>
          </w:p>
        </w:tc>
        <w:tc>
          <w:tcPr/>
          <w:p>
            <w:pPr>
              <w:pStyle w:val="Compact"/>
              <w:jc w:val="left"/>
            </w:pPr>
            <w:r>
              <w:t xml:space="preserve">50</w:t>
            </w:r>
          </w:p>
        </w:tc>
        <w:tc>
          <w:tcPr/>
          <w:p>
            <w:pPr>
              <w:pStyle w:val="Compact"/>
              <w:jc w:val="left"/>
            </w:pPr>
            <w:r>
              <w:t xml:space="preserve">27 (19–33)</w:t>
            </w:r>
          </w:p>
        </w:tc>
        <w:tc>
          <w:tcPr/>
          <w:p>
            <w:pPr>
              <w:pStyle w:val="Compact"/>
              <w:jc w:val="left"/>
            </w:pPr>
            <w:r>
              <w:t xml:space="preserve">1 (1–3)</w:t>
            </w:r>
          </w:p>
        </w:tc>
        <w:tc>
          <w:tcPr/>
          <w:p>
            <w:pPr>
              <w:pStyle w:val="Compact"/>
              <w:jc w:val="left"/>
            </w:pPr>
            <w:r>
              <w:t xml:space="preserve">20 (18–20)</w:t>
            </w:r>
          </w:p>
        </w:tc>
        <w:tc>
          <w:tcPr/>
          <w:p>
            <w:pPr>
              <w:pStyle w:val="Compact"/>
              <w:jc w:val="left"/>
            </w:pPr>
            <w:r>
              <w:t xml:space="preserve">3 (1–3)</w:t>
            </w:r>
          </w:p>
        </w:tc>
        <w:tc>
          <w:tcPr/>
          <w:p>
            <w:pPr>
              <w:pStyle w:val="Compact"/>
              <w:jc w:val="left"/>
            </w:pPr>
            <w:r>
              <w:t xml:space="preserve">14.1 (12.7–14.4)</w:t>
            </w:r>
          </w:p>
        </w:tc>
        <w:tc>
          <w:tcPr/>
          <w:p>
            <w:pPr>
              <w:pStyle w:val="Compact"/>
              <w:jc w:val="left"/>
            </w:pPr>
            <w:r>
              <w:t xml:space="preserve">3.39</w:t>
            </w:r>
          </w:p>
        </w:tc>
      </w:tr>
      <w:tr>
        <w:tc>
          <w:tcPr/>
          <w:p>
            <w:pPr>
              <w:pStyle w:val="Compact"/>
              <w:jc w:val="left"/>
            </w:pPr>
            <w:r>
              <w:t xml:space="preserve">古典时期 1750–99</w:t>
            </w:r>
          </w:p>
        </w:tc>
        <w:tc>
          <w:tcPr/>
          <w:p>
            <w:pPr>
              <w:pStyle w:val="Compact"/>
              <w:jc w:val="left"/>
            </w:pPr>
            <w:r>
              <w:t xml:space="preserve">334</w:t>
            </w:r>
          </w:p>
        </w:tc>
        <w:tc>
          <w:tcPr/>
          <w:p>
            <w:pPr>
              <w:pStyle w:val="Compact"/>
              <w:jc w:val="left"/>
            </w:pPr>
            <w:r>
              <w:t xml:space="preserve">9</w:t>
            </w:r>
          </w:p>
        </w:tc>
        <w:tc>
          <w:tcPr/>
          <w:p>
            <w:pPr>
              <w:pStyle w:val="Compact"/>
              <w:jc w:val="left"/>
            </w:pPr>
            <w:r>
              <w:t xml:space="preserve">27</w:t>
            </w:r>
          </w:p>
        </w:tc>
        <w:tc>
          <w:tcPr/>
          <w:p>
            <w:pPr>
              <w:pStyle w:val="Compact"/>
              <w:jc w:val="left"/>
            </w:pPr>
            <w:r>
              <w:t xml:space="preserve">29 (27–31)</w:t>
            </w:r>
          </w:p>
        </w:tc>
        <w:tc>
          <w:tcPr/>
          <w:p>
            <w:pPr>
              <w:pStyle w:val="Compact"/>
              <w:jc w:val="left"/>
            </w:pPr>
            <w:r>
              <w:t xml:space="preserve">1 (1–2)</w:t>
            </w:r>
          </w:p>
        </w:tc>
        <w:tc>
          <w:tcPr/>
          <w:p>
            <w:pPr>
              <w:pStyle w:val="Compact"/>
              <w:jc w:val="left"/>
            </w:pPr>
            <w:r>
              <w:t xml:space="preserve">22 (18–25)</w:t>
            </w:r>
          </w:p>
        </w:tc>
        <w:tc>
          <w:tcPr/>
          <w:p>
            <w:pPr>
              <w:pStyle w:val="Compact"/>
              <w:jc w:val="left"/>
            </w:pPr>
            <w:r>
              <w:t xml:space="preserve">6 (5–7)</w:t>
            </w:r>
          </w:p>
        </w:tc>
        <w:tc>
          <w:tcPr/>
          <w:p>
            <w:pPr>
              <w:pStyle w:val="Compact"/>
              <w:jc w:val="left"/>
            </w:pPr>
            <w:r>
              <w:t xml:space="preserve">13.6 (12.7–14.9)</w:t>
            </w:r>
          </w:p>
        </w:tc>
        <w:tc>
          <w:tcPr/>
          <w:p>
            <w:pPr>
              <w:pStyle w:val="Compact"/>
              <w:jc w:val="left"/>
            </w:pPr>
            <w:r>
              <w:t xml:space="preserve">3.13</w:t>
            </w:r>
          </w:p>
        </w:tc>
      </w:tr>
      <w:tr>
        <w:tc>
          <w:tcPr/>
          <w:p>
            <w:pPr>
              <w:pStyle w:val="Compact"/>
              <w:jc w:val="left"/>
            </w:pPr>
            <w:r>
              <w:t xml:space="preserve">早期浪漫主义 1800–49</w:t>
            </w:r>
          </w:p>
        </w:tc>
        <w:tc>
          <w:tcPr/>
          <w:p>
            <w:pPr>
              <w:pStyle w:val="Compact"/>
              <w:jc w:val="left"/>
            </w:pPr>
            <w:r>
              <w:t xml:space="preserve">384</w:t>
            </w:r>
          </w:p>
        </w:tc>
        <w:tc>
          <w:tcPr/>
          <w:p>
            <w:pPr>
              <w:pStyle w:val="Compact"/>
              <w:jc w:val="left"/>
            </w:pPr>
            <w:r>
              <w:t xml:space="preserve">11</w:t>
            </w:r>
          </w:p>
        </w:tc>
        <w:tc>
          <w:tcPr/>
          <w:p>
            <w:pPr>
              <w:pStyle w:val="Compact"/>
              <w:jc w:val="left"/>
            </w:pPr>
            <w:r>
              <w:t xml:space="preserve">38</w:t>
            </w:r>
          </w:p>
        </w:tc>
        <w:tc>
          <w:tcPr/>
          <w:p>
            <w:pPr>
              <w:pStyle w:val="Compact"/>
              <w:jc w:val="left"/>
            </w:pPr>
            <w:r>
              <w:t xml:space="preserve">37 (34–42)</w:t>
            </w:r>
          </w:p>
        </w:tc>
        <w:tc>
          <w:tcPr/>
          <w:p>
            <w:pPr>
              <w:pStyle w:val="Compact"/>
              <w:jc w:val="left"/>
            </w:pPr>
            <w:r>
              <w:t xml:space="preserve">3 (2–7)</w:t>
            </w:r>
          </w:p>
        </w:tc>
        <w:tc>
          <w:tcPr/>
          <w:p>
            <w:pPr>
              <w:pStyle w:val="Compact"/>
              <w:jc w:val="left"/>
            </w:pPr>
            <w:r>
              <w:t xml:space="preserve">24 (21–27)</w:t>
            </w:r>
          </w:p>
        </w:tc>
        <w:tc>
          <w:tcPr/>
          <w:p>
            <w:pPr>
              <w:pStyle w:val="Compact"/>
              <w:jc w:val="left"/>
            </w:pPr>
            <w:r>
              <w:t xml:space="preserve">6 (5–7)</w:t>
            </w:r>
          </w:p>
        </w:tc>
        <w:tc>
          <w:tcPr/>
          <w:p>
            <w:pPr>
              <w:pStyle w:val="Compact"/>
              <w:jc w:val="left"/>
            </w:pPr>
            <w:r>
              <w:t xml:space="preserve">14.0 (12.9–15.5)</w:t>
            </w:r>
          </w:p>
        </w:tc>
        <w:tc>
          <w:tcPr/>
          <w:p>
            <w:pPr>
              <w:pStyle w:val="Compact"/>
              <w:jc w:val="left"/>
            </w:pPr>
            <w:r>
              <w:t xml:space="preserve">3.58</w:t>
            </w:r>
          </w:p>
        </w:tc>
      </w:tr>
      <w:tr>
        <w:tc>
          <w:tcPr/>
          <w:p>
            <w:pPr>
              <w:pStyle w:val="Compact"/>
              <w:jc w:val="left"/>
            </w:pPr>
            <w:r>
              <w:t xml:space="preserve">晚期浪漫主义 1850–99</w:t>
            </w:r>
          </w:p>
        </w:tc>
        <w:tc>
          <w:tcPr/>
          <w:p>
            <w:pPr>
              <w:pStyle w:val="Compact"/>
              <w:jc w:val="left"/>
            </w:pPr>
            <w:r>
              <w:t xml:space="preserve">151</w:t>
            </w:r>
          </w:p>
        </w:tc>
        <w:tc>
          <w:tcPr/>
          <w:p>
            <w:pPr>
              <w:pStyle w:val="Compact"/>
              <w:jc w:val="left"/>
            </w:pPr>
            <w:r>
              <w:t xml:space="preserve">20</w:t>
            </w:r>
          </w:p>
        </w:tc>
        <w:tc>
          <w:tcPr/>
          <w:p>
            <w:pPr>
              <w:pStyle w:val="Compact"/>
              <w:jc w:val="left"/>
            </w:pPr>
            <w:r>
              <w:t xml:space="preserve">38</w:t>
            </w:r>
          </w:p>
        </w:tc>
        <w:tc>
          <w:tcPr/>
          <w:p>
            <w:pPr>
              <w:pStyle w:val="Compact"/>
              <w:jc w:val="left"/>
            </w:pPr>
            <w:r>
              <w:t xml:space="preserve">43 (35–48)</w:t>
            </w:r>
          </w:p>
        </w:tc>
        <w:tc>
          <w:tcPr/>
          <w:p>
            <w:pPr>
              <w:pStyle w:val="Compact"/>
              <w:jc w:val="left"/>
            </w:pPr>
            <w:r>
              <w:t xml:space="preserve">7 (3–10)</w:t>
            </w:r>
          </w:p>
        </w:tc>
        <w:tc>
          <w:tcPr/>
          <w:p>
            <w:pPr>
              <w:pStyle w:val="Compact"/>
              <w:jc w:val="left"/>
            </w:pPr>
            <w:r>
              <w:t xml:space="preserve">29 (24–31)</w:t>
            </w:r>
          </w:p>
        </w:tc>
        <w:tc>
          <w:tcPr/>
          <w:p>
            <w:pPr>
              <w:pStyle w:val="Compact"/>
              <w:jc w:val="left"/>
            </w:pPr>
            <w:r>
              <w:t xml:space="preserve">8 (5–10)</w:t>
            </w:r>
          </w:p>
        </w:tc>
        <w:tc>
          <w:tcPr/>
          <w:p>
            <w:pPr>
              <w:pStyle w:val="Compact"/>
              <w:jc w:val="left"/>
            </w:pPr>
            <w:r>
              <w:t xml:space="preserve">14.6 (12.5–15.7)</w:t>
            </w:r>
          </w:p>
        </w:tc>
        <w:tc>
          <w:tcPr/>
          <w:p>
            <w:pPr>
              <w:pStyle w:val="Compact"/>
              <w:jc w:val="left"/>
            </w:pPr>
            <w:r>
              <w:t xml:space="preserve">3.96</w:t>
            </w:r>
          </w:p>
        </w:tc>
      </w:tr>
      <w:tr>
        <w:tc>
          <w:tcPr/>
          <w:p>
            <w:pPr>
              <w:pStyle w:val="Compact"/>
              <w:jc w:val="left"/>
            </w:pPr>
            <w:r>
              <w:t xml:space="preserve">20世纪早期 1900–49</w:t>
            </w:r>
          </w:p>
        </w:tc>
        <w:tc>
          <w:tcPr/>
          <w:p>
            <w:pPr>
              <w:pStyle w:val="Compact"/>
              <w:jc w:val="left"/>
            </w:pPr>
            <w:r>
              <w:t xml:space="preserve">92</w:t>
            </w:r>
          </w:p>
        </w:tc>
        <w:tc>
          <w:tcPr/>
          <w:p>
            <w:pPr>
              <w:pStyle w:val="Compact"/>
              <w:jc w:val="left"/>
            </w:pPr>
            <w:r>
              <w:t xml:space="preserve">11</w:t>
            </w:r>
          </w:p>
        </w:tc>
        <w:tc>
          <w:tcPr/>
          <w:p>
            <w:pPr>
              <w:pStyle w:val="Compact"/>
              <w:jc w:val="left"/>
            </w:pPr>
            <w:r>
              <w:t xml:space="preserve">65</w:t>
            </w:r>
          </w:p>
        </w:tc>
        <w:tc>
          <w:tcPr/>
          <w:p>
            <w:pPr>
              <w:pStyle w:val="Compact"/>
              <w:jc w:val="left"/>
            </w:pPr>
            <w:r>
              <w:t xml:space="preserve">54 (46–68)</w:t>
            </w:r>
          </w:p>
        </w:tc>
        <w:tc>
          <w:tcPr/>
          <w:p>
            <w:pPr>
              <w:pStyle w:val="Compact"/>
              <w:jc w:val="left"/>
            </w:pPr>
            <w:r>
              <w:t xml:space="preserve">18 (9–31)</w:t>
            </w:r>
          </w:p>
        </w:tc>
        <w:tc>
          <w:tcPr/>
          <w:p>
            <w:pPr>
              <w:pStyle w:val="Compact"/>
              <w:jc w:val="left"/>
            </w:pPr>
            <w:r>
              <w:t xml:space="preserve">40 (35–47)</w:t>
            </w:r>
          </w:p>
        </w:tc>
        <w:tc>
          <w:tcPr/>
          <w:p>
            <w:pPr>
              <w:pStyle w:val="Compact"/>
              <w:jc w:val="left"/>
            </w:pPr>
            <w:r>
              <w:t xml:space="preserve">15 (10–21)</w:t>
            </w:r>
          </w:p>
        </w:tc>
        <w:tc>
          <w:tcPr/>
          <w:p>
            <w:pPr>
              <w:pStyle w:val="Compact"/>
              <w:jc w:val="left"/>
            </w:pPr>
            <w:r>
              <w:t xml:space="preserve">20.4 (17.8–22.1)</w:t>
            </w:r>
          </w:p>
        </w:tc>
        <w:tc>
          <w:tcPr/>
          <w:p>
            <w:pPr>
              <w:pStyle w:val="Compact"/>
              <w:jc w:val="left"/>
            </w:pPr>
            <w:r>
              <w:t xml:space="preserve">4.48</w:t>
            </w:r>
          </w:p>
        </w:tc>
      </w:tr>
      <w:tr>
        <w:tc>
          <w:tcPr/>
          <w:p>
            <w:pPr>
              <w:pStyle w:val="Compact"/>
              <w:jc w:val="left"/>
            </w:pPr>
            <w:r>
              <w:t xml:space="preserve">爵士：摇摆时代 &lt;1945</w:t>
            </w:r>
          </w:p>
        </w:tc>
        <w:tc>
          <w:tcPr/>
          <w:p>
            <w:pPr>
              <w:pStyle w:val="Compact"/>
              <w:jc w:val="left"/>
            </w:pPr>
            <w:r>
              <w:t xml:space="preserve">66</w:t>
            </w:r>
          </w:p>
        </w:tc>
        <w:tc>
          <w:tcPr/>
          <w:p>
            <w:pPr>
              <w:pStyle w:val="Compact"/>
              <w:jc w:val="left"/>
            </w:pPr>
            <w:r>
              <w:t xml:space="preserve">16</w:t>
            </w:r>
          </w:p>
        </w:tc>
        <w:tc>
          <w:tcPr/>
          <w:p>
            <w:pPr>
              <w:pStyle w:val="Compact"/>
              <w:jc w:val="left"/>
            </w:pPr>
            <w:r>
              <w:t xml:space="preserve">6</w:t>
            </w:r>
          </w:p>
        </w:tc>
        <w:tc>
          <w:tcPr/>
          <w:p>
            <w:pPr>
              <w:pStyle w:val="Compact"/>
              <w:jc w:val="left"/>
            </w:pPr>
            <w:r>
              <w:t xml:space="preserve">63 (57–70)</w:t>
            </w:r>
          </w:p>
        </w:tc>
        <w:tc>
          <w:tcPr/>
          <w:p>
            <w:pPr>
              <w:pStyle w:val="Compact"/>
              <w:jc w:val="left"/>
            </w:pPr>
            <w:r>
              <w:t xml:space="preserve">1 (0–2)</w:t>
            </w:r>
          </w:p>
        </w:tc>
        <w:tc>
          <w:tcPr/>
          <w:p>
            <w:pPr>
              <w:pStyle w:val="Compact"/>
              <w:jc w:val="left"/>
            </w:pPr>
            <w:r>
              <w:t xml:space="preserve">29 (25–34)</w:t>
            </w:r>
          </w:p>
        </w:tc>
        <w:tc>
          <w:tcPr/>
          <w:p>
            <w:pPr>
              <w:pStyle w:val="Compact"/>
              <w:jc w:val="left"/>
            </w:pPr>
            <w:r>
              <w:t xml:space="preserve">7 (5–11)</w:t>
            </w:r>
          </w:p>
        </w:tc>
        <w:tc>
          <w:tcPr/>
          <w:p>
            <w:pPr>
              <w:pStyle w:val="Compact"/>
              <w:jc w:val="left"/>
            </w:pPr>
            <w:r>
              <w:t xml:space="preserve">12.4 (10.8–14.6)</w:t>
            </w:r>
          </w:p>
        </w:tc>
        <w:tc>
          <w:tcPr/>
          <w:p>
            <w:pPr>
              <w:pStyle w:val="Compact"/>
              <w:jc w:val="left"/>
            </w:pPr>
            <w:r>
              <w:t xml:space="preserve">2.27</w:t>
            </w:r>
          </w:p>
        </w:tc>
      </w:tr>
      <w:tr>
        <w:tc>
          <w:tcPr/>
          <w:p>
            <w:pPr>
              <w:pStyle w:val="Compact"/>
              <w:jc w:val="left"/>
            </w:pPr>
            <w:r>
              <w:t xml:space="preserve">爵士：比博普 1945–59</w:t>
            </w:r>
          </w:p>
        </w:tc>
        <w:tc>
          <w:tcPr/>
          <w:p>
            <w:pPr>
              <w:pStyle w:val="Compact"/>
              <w:jc w:val="left"/>
            </w:pPr>
            <w:r>
              <w:t xml:space="preserve">172</w:t>
            </w:r>
          </w:p>
        </w:tc>
        <w:tc>
          <w:tcPr/>
          <w:p>
            <w:pPr>
              <w:pStyle w:val="Compact"/>
              <w:jc w:val="left"/>
            </w:pPr>
            <w:r>
              <w:t xml:space="preserve">37</w:t>
            </w:r>
          </w:p>
        </w:tc>
        <w:tc>
          <w:tcPr/>
          <w:p>
            <w:pPr>
              <w:pStyle w:val="Compact"/>
              <w:jc w:val="left"/>
            </w:pPr>
            <w:r>
              <w:t xml:space="preserve">11</w:t>
            </w:r>
          </w:p>
        </w:tc>
        <w:tc>
          <w:tcPr/>
          <w:p>
            <w:pPr>
              <w:pStyle w:val="Compact"/>
              <w:jc w:val="left"/>
            </w:pPr>
            <w:r>
              <w:t xml:space="preserve">91 (89–93)</w:t>
            </w:r>
          </w:p>
        </w:tc>
        <w:tc>
          <w:tcPr/>
          <w:p>
            <w:pPr>
              <w:pStyle w:val="Compact"/>
              <w:jc w:val="left"/>
            </w:pPr>
            <w:r>
              <w:t xml:space="preserve">4 (3–5)</w:t>
            </w:r>
          </w:p>
        </w:tc>
        <w:tc>
          <w:tcPr/>
          <w:p>
            <w:pPr>
              <w:pStyle w:val="Compact"/>
              <w:jc w:val="left"/>
            </w:pPr>
            <w:r>
              <w:t xml:space="preserve">32 (29–34)</w:t>
            </w:r>
          </w:p>
        </w:tc>
        <w:tc>
          <w:tcPr/>
          <w:p>
            <w:pPr>
              <w:pStyle w:val="Compact"/>
              <w:jc w:val="left"/>
            </w:pPr>
            <w:r>
              <w:t xml:space="preserve">11 (10–13)</w:t>
            </w:r>
          </w:p>
        </w:tc>
        <w:tc>
          <w:tcPr/>
          <w:p>
            <w:pPr>
              <w:pStyle w:val="Compact"/>
              <w:jc w:val="left"/>
            </w:pPr>
            <w:r>
              <w:t xml:space="preserve">11.1 (10.3–11.8)</w:t>
            </w:r>
          </w:p>
        </w:tc>
        <w:tc>
          <w:tcPr/>
          <w:p>
            <w:pPr>
              <w:pStyle w:val="Compact"/>
              <w:jc w:val="left"/>
            </w:pPr>
            <w:r>
              <w:t xml:space="preserve">2.63</w:t>
            </w:r>
          </w:p>
        </w:tc>
      </w:tr>
      <w:tr>
        <w:tc>
          <w:tcPr/>
          <w:p>
            <w:pPr>
              <w:pStyle w:val="Compact"/>
              <w:jc w:val="left"/>
            </w:pPr>
            <w:r>
              <w:t xml:space="preserve">爵士：后博普 1960–74</w:t>
            </w:r>
          </w:p>
        </w:tc>
        <w:tc>
          <w:tcPr/>
          <w:p>
            <w:pPr>
              <w:pStyle w:val="Compact"/>
              <w:jc w:val="left"/>
            </w:pPr>
            <w:r>
              <w:t xml:space="preserve">78</w:t>
            </w:r>
          </w:p>
        </w:tc>
        <w:tc>
          <w:tcPr/>
          <w:p>
            <w:pPr>
              <w:pStyle w:val="Compact"/>
              <w:jc w:val="left"/>
            </w:pPr>
            <w:r>
              <w:t xml:space="preserve">23</w:t>
            </w:r>
          </w:p>
        </w:tc>
        <w:tc>
          <w:tcPr/>
          <w:p>
            <w:pPr>
              <w:pStyle w:val="Compact"/>
              <w:jc w:val="left"/>
            </w:pPr>
            <w:r>
              <w:t xml:space="preserve">27</w:t>
            </w:r>
          </w:p>
        </w:tc>
        <w:tc>
          <w:tcPr/>
          <w:p>
            <w:pPr>
              <w:pStyle w:val="Compact"/>
              <w:jc w:val="left"/>
            </w:pPr>
            <w:r>
              <w:t xml:space="preserve">90 (84–94)</w:t>
            </w:r>
          </w:p>
        </w:tc>
        <w:tc>
          <w:tcPr/>
          <w:p>
            <w:pPr>
              <w:pStyle w:val="Compact"/>
              <w:jc w:val="left"/>
            </w:pPr>
            <w:r>
              <w:t xml:space="preserve">12 (7–18)</w:t>
            </w:r>
          </w:p>
        </w:tc>
        <w:tc>
          <w:tcPr/>
          <w:p>
            <w:pPr>
              <w:pStyle w:val="Compact"/>
              <w:jc w:val="left"/>
            </w:pPr>
            <w:r>
              <w:t xml:space="preserve">38 (32–42)</w:t>
            </w:r>
          </w:p>
        </w:tc>
        <w:tc>
          <w:tcPr/>
          <w:p>
            <w:pPr>
              <w:pStyle w:val="Compact"/>
              <w:jc w:val="left"/>
            </w:pPr>
            <w:r>
              <w:t xml:space="preserve">18 (13–23)</w:t>
            </w:r>
          </w:p>
        </w:tc>
        <w:tc>
          <w:tcPr/>
          <w:p>
            <w:pPr>
              <w:pStyle w:val="Compact"/>
              <w:jc w:val="left"/>
            </w:pPr>
            <w:r>
              <w:t xml:space="preserve">10.7 (9.5–11.9)</w:t>
            </w:r>
          </w:p>
        </w:tc>
        <w:tc>
          <w:tcPr/>
          <w:p>
            <w:pPr>
              <w:pStyle w:val="Compact"/>
              <w:jc w:val="left"/>
            </w:pPr>
            <w:r>
              <w:t xml:space="preserve">2.49</w:t>
            </w:r>
          </w:p>
        </w:tc>
      </w:tr>
      <w:tr>
        <w:tc>
          <w:tcPr/>
          <w:p>
            <w:pPr>
              <w:pStyle w:val="Compact"/>
              <w:jc w:val="left"/>
            </w:pPr>
            <w:r>
              <w:t xml:space="preserve">爵士 1975+</w:t>
            </w:r>
          </w:p>
        </w:tc>
        <w:tc>
          <w:tcPr/>
          <w:p>
            <w:pPr>
              <w:pStyle w:val="Compact"/>
              <w:jc w:val="left"/>
            </w:pPr>
            <w:r>
              <w:t xml:space="preserve">96</w:t>
            </w:r>
          </w:p>
        </w:tc>
        <w:tc>
          <w:tcPr/>
          <w:p>
            <w:pPr>
              <w:pStyle w:val="Compact"/>
              <w:jc w:val="left"/>
            </w:pPr>
            <w:r>
              <w:t xml:space="preserve">20</w:t>
            </w:r>
          </w:p>
        </w:tc>
        <w:tc>
          <w:tcPr/>
          <w:p>
            <w:pPr>
              <w:pStyle w:val="Compact"/>
              <w:jc w:val="left"/>
            </w:pPr>
            <w:r>
              <w:t xml:space="preserve">25</w:t>
            </w:r>
          </w:p>
        </w:tc>
        <w:tc>
          <w:tcPr/>
          <w:p>
            <w:pPr>
              <w:pStyle w:val="Compact"/>
              <w:jc w:val="left"/>
            </w:pPr>
            <w:r>
              <w:t xml:space="preserve">88 (84–91)</w:t>
            </w:r>
          </w:p>
        </w:tc>
        <w:tc>
          <w:tcPr/>
          <w:p>
            <w:pPr>
              <w:pStyle w:val="Compact"/>
              <w:jc w:val="left"/>
            </w:pPr>
            <w:r>
              <w:t xml:space="preserve">11 (7–16)</w:t>
            </w:r>
          </w:p>
        </w:tc>
        <w:tc>
          <w:tcPr/>
          <w:p>
            <w:pPr>
              <w:pStyle w:val="Compact"/>
              <w:jc w:val="left"/>
            </w:pPr>
            <w:r>
              <w:t xml:space="preserve">35 (29–40)</w:t>
            </w:r>
          </w:p>
        </w:tc>
        <w:tc>
          <w:tcPr/>
          <w:p>
            <w:pPr>
              <w:pStyle w:val="Compact"/>
              <w:jc w:val="left"/>
            </w:pPr>
            <w:r>
              <w:t xml:space="preserve">14 (11–17)</w:t>
            </w:r>
          </w:p>
        </w:tc>
        <w:tc>
          <w:tcPr/>
          <w:p>
            <w:pPr>
              <w:pStyle w:val="Compact"/>
              <w:jc w:val="left"/>
            </w:pPr>
            <w:r>
              <w:t xml:space="preserve">11.4 (10.3–12.3)</w:t>
            </w:r>
          </w:p>
        </w:tc>
        <w:tc>
          <w:tcPr/>
          <w:p>
            <w:pPr>
              <w:pStyle w:val="Compact"/>
              <w:jc w:val="left"/>
            </w:pPr>
            <w:r>
              <w:t xml:space="preserve">2.61</w:t>
            </w:r>
          </w:p>
        </w:tc>
      </w:tr>
      <w:tr>
        <w:tc>
          <w:tcPr/>
          <w:p>
            <w:pPr>
              <w:pStyle w:val="Compact"/>
              <w:jc w:val="left"/>
            </w:pPr>
            <w:r>
              <w:t xml:space="preserve">流行 1950–64</w:t>
            </w:r>
          </w:p>
        </w:tc>
        <w:tc>
          <w:tcPr/>
          <w:p>
            <w:pPr>
              <w:pStyle w:val="Compact"/>
              <w:jc w:val="left"/>
            </w:pPr>
            <w:r>
              <w:t xml:space="preserve">211</w:t>
            </w:r>
          </w:p>
        </w:tc>
        <w:tc>
          <w:tcPr/>
          <w:p>
            <w:pPr>
              <w:pStyle w:val="Compact"/>
              <w:jc w:val="left"/>
            </w:pPr>
            <w:r>
              <w:t xml:space="preserve">101</w:t>
            </w:r>
          </w:p>
        </w:tc>
        <w:tc>
          <w:tcPr/>
          <w:p>
            <w:pPr>
              <w:pStyle w:val="Compact"/>
              <w:jc w:val="left"/>
            </w:pPr>
            <w:r>
              <w:t xml:space="preserve">2</w:t>
            </w:r>
          </w:p>
        </w:tc>
        <w:tc>
          <w:tcPr/>
          <w:p>
            <w:pPr>
              <w:pStyle w:val="Compact"/>
              <w:jc w:val="left"/>
            </w:pPr>
            <w:r>
              <w:t xml:space="preserve">34 (28–40)</w:t>
            </w:r>
          </w:p>
        </w:tc>
        <w:tc>
          <w:tcPr/>
          <w:p>
            <w:pPr>
              <w:pStyle w:val="Compact"/>
              <w:jc w:val="left"/>
            </w:pPr>
            <w:r>
              <w:t xml:space="preserve">3 (1–4)</w:t>
            </w:r>
          </w:p>
        </w:tc>
        <w:tc>
          <w:tcPr/>
          <w:p>
            <w:pPr>
              <w:pStyle w:val="Compact"/>
              <w:jc w:val="left"/>
            </w:pPr>
            <w:r>
              <w:t xml:space="preserve">10 (8–13)</w:t>
            </w:r>
          </w:p>
        </w:tc>
        <w:tc>
          <w:tcPr/>
          <w:p>
            <w:pPr>
              <w:pStyle w:val="Compact"/>
              <w:jc w:val="left"/>
            </w:pPr>
            <w:r>
              <w:t xml:space="preserve">4 (3–5)</w:t>
            </w:r>
          </w:p>
        </w:tc>
        <w:tc>
          <w:tcPr/>
          <w:p>
            <w:pPr>
              <w:pStyle w:val="Compact"/>
              <w:jc w:val="left"/>
            </w:pPr>
            <w:r>
              <w:t xml:space="preserve">7.0 (6.3–7.8)</w:t>
            </w:r>
          </w:p>
        </w:tc>
        <w:tc>
          <w:tcPr/>
          <w:p>
            <w:pPr>
              <w:pStyle w:val="Compact"/>
              <w:jc w:val="left"/>
            </w:pPr>
            <w:r>
              <w:t xml:space="preserve">2.55</w:t>
            </w:r>
          </w:p>
        </w:tc>
      </w:tr>
      <w:tr>
        <w:tc>
          <w:tcPr/>
          <w:p>
            <w:pPr>
              <w:pStyle w:val="Compact"/>
              <w:jc w:val="left"/>
            </w:pPr>
            <w:r>
              <w:t xml:space="preserve">流行 1965–74</w:t>
            </w:r>
          </w:p>
        </w:tc>
        <w:tc>
          <w:tcPr/>
          <w:p>
            <w:pPr>
              <w:pStyle w:val="Compact"/>
              <w:jc w:val="left"/>
            </w:pPr>
            <w:r>
              <w:t xml:space="preserve">361</w:t>
            </w:r>
          </w:p>
        </w:tc>
        <w:tc>
          <w:tcPr/>
          <w:p>
            <w:pPr>
              <w:pStyle w:val="Compact"/>
              <w:jc w:val="left"/>
            </w:pPr>
            <w:r>
              <w:t xml:space="preserve">198</w:t>
            </w:r>
          </w:p>
        </w:tc>
        <w:tc>
          <w:tcPr/>
          <w:p>
            <w:pPr>
              <w:pStyle w:val="Compact"/>
              <w:jc w:val="left"/>
            </w:pPr>
            <w:r>
              <w:t xml:space="preserve">20</w:t>
            </w:r>
          </w:p>
        </w:tc>
        <w:tc>
          <w:tcPr/>
          <w:p>
            <w:pPr>
              <w:pStyle w:val="Compact"/>
              <w:jc w:val="left"/>
            </w:pPr>
            <w:r>
              <w:t xml:space="preserve">29 (24–33)</w:t>
            </w:r>
          </w:p>
        </w:tc>
        <w:tc>
          <w:tcPr/>
          <w:p>
            <w:pPr>
              <w:pStyle w:val="Compact"/>
              <w:jc w:val="left"/>
            </w:pPr>
            <w:r>
              <w:t xml:space="preserve">5 (4–6)</w:t>
            </w:r>
          </w:p>
        </w:tc>
        <w:tc>
          <w:tcPr/>
          <w:p>
            <w:pPr>
              <w:pStyle w:val="Compact"/>
              <w:jc w:val="left"/>
            </w:pPr>
            <w:r>
              <w:t xml:space="preserve">16 (14–18)</w:t>
            </w:r>
          </w:p>
        </w:tc>
        <w:tc>
          <w:tcPr/>
          <w:p>
            <w:pPr>
              <w:pStyle w:val="Compact"/>
              <w:jc w:val="left"/>
            </w:pPr>
            <w:r>
              <w:t xml:space="preserve">7 (6–9)</w:t>
            </w:r>
          </w:p>
        </w:tc>
        <w:tc>
          <w:tcPr/>
          <w:p>
            <w:pPr>
              <w:pStyle w:val="Compact"/>
              <w:jc w:val="left"/>
            </w:pPr>
            <w:r>
              <w:t xml:space="preserve">7.4 (6.9–7.9)</w:t>
            </w:r>
          </w:p>
        </w:tc>
        <w:tc>
          <w:tcPr/>
          <w:p>
            <w:pPr>
              <w:pStyle w:val="Compact"/>
              <w:jc w:val="left"/>
            </w:pPr>
            <w:r>
              <w:t xml:space="preserve">3.11</w:t>
            </w:r>
          </w:p>
        </w:tc>
      </w:tr>
      <w:tr>
        <w:tc>
          <w:tcPr/>
          <w:p>
            <w:pPr>
              <w:pStyle w:val="Compact"/>
              <w:jc w:val="left"/>
            </w:pPr>
            <w:r>
              <w:t xml:space="preserve">流行 1975–84</w:t>
            </w:r>
          </w:p>
        </w:tc>
        <w:tc>
          <w:tcPr/>
          <w:p>
            <w:pPr>
              <w:pStyle w:val="Compact"/>
              <w:jc w:val="left"/>
            </w:pPr>
            <w:r>
              <w:t xml:space="preserve">331</w:t>
            </w:r>
          </w:p>
        </w:tc>
        <w:tc>
          <w:tcPr/>
          <w:p>
            <w:pPr>
              <w:pStyle w:val="Compact"/>
              <w:jc w:val="left"/>
            </w:pPr>
            <w:r>
              <w:t xml:space="preserve">182</w:t>
            </w:r>
          </w:p>
        </w:tc>
        <w:tc>
          <w:tcPr/>
          <w:p>
            <w:pPr>
              <w:pStyle w:val="Compact"/>
              <w:jc w:val="left"/>
            </w:pPr>
            <w:r>
              <w:t xml:space="preserve">20</w:t>
            </w:r>
          </w:p>
        </w:tc>
        <w:tc>
          <w:tcPr/>
          <w:p>
            <w:pPr>
              <w:pStyle w:val="Compact"/>
              <w:jc w:val="left"/>
            </w:pPr>
            <w:r>
              <w:t xml:space="preserve">27 (23–31)</w:t>
            </w:r>
          </w:p>
        </w:tc>
        <w:tc>
          <w:tcPr/>
          <w:p>
            <w:pPr>
              <w:pStyle w:val="Compact"/>
              <w:jc w:val="left"/>
            </w:pPr>
            <w:r>
              <w:t xml:space="preserve">7 (5–8)</w:t>
            </w:r>
          </w:p>
        </w:tc>
        <w:tc>
          <w:tcPr/>
          <w:p>
            <w:pPr>
              <w:pStyle w:val="Compact"/>
              <w:jc w:val="left"/>
            </w:pPr>
            <w:r>
              <w:t xml:space="preserve">16 (14–19)</w:t>
            </w:r>
          </w:p>
        </w:tc>
        <w:tc>
          <w:tcPr/>
          <w:p>
            <w:pPr>
              <w:pStyle w:val="Compact"/>
              <w:jc w:val="left"/>
            </w:pPr>
            <w:r>
              <w:t xml:space="preserve">9 (7–11)</w:t>
            </w:r>
          </w:p>
        </w:tc>
        <w:tc>
          <w:tcPr/>
          <w:p>
            <w:pPr>
              <w:pStyle w:val="Compact"/>
              <w:jc w:val="left"/>
            </w:pPr>
            <w:r>
              <w:t xml:space="preserve">8.4 (7.9–9.0)</w:t>
            </w:r>
          </w:p>
        </w:tc>
        <w:tc>
          <w:tcPr/>
          <w:p>
            <w:pPr>
              <w:pStyle w:val="Compact"/>
              <w:jc w:val="left"/>
            </w:pPr>
            <w:r>
              <w:t xml:space="preserve">3.31</w:t>
            </w:r>
          </w:p>
        </w:tc>
      </w:tr>
      <w:tr>
        <w:tc>
          <w:tcPr/>
          <w:p>
            <w:pPr>
              <w:pStyle w:val="Compact"/>
              <w:jc w:val="left"/>
            </w:pPr>
            <w:r>
              <w:t xml:space="preserve">流行 1985+</w:t>
            </w:r>
          </w:p>
        </w:tc>
        <w:tc>
          <w:tcPr/>
          <w:p>
            <w:pPr>
              <w:pStyle w:val="Compact"/>
              <w:jc w:val="left"/>
            </w:pPr>
            <w:r>
              <w:t xml:space="preserve">166</w:t>
            </w:r>
          </w:p>
        </w:tc>
        <w:tc>
          <w:tcPr/>
          <w:p>
            <w:pPr>
              <w:pStyle w:val="Compact"/>
              <w:jc w:val="left"/>
            </w:pPr>
            <w:r>
              <w:t xml:space="preserve">105</w:t>
            </w:r>
          </w:p>
        </w:tc>
        <w:tc>
          <w:tcPr/>
          <w:p>
            <w:pPr>
              <w:pStyle w:val="Compact"/>
              <w:jc w:val="left"/>
            </w:pPr>
            <w:r>
              <w:t xml:space="preserve">23</w:t>
            </w:r>
          </w:p>
        </w:tc>
        <w:tc>
          <w:tcPr/>
          <w:p>
            <w:pPr>
              <w:pStyle w:val="Compact"/>
              <w:jc w:val="left"/>
            </w:pPr>
            <w:r>
              <w:t xml:space="preserve">24 (19–30)</w:t>
            </w:r>
          </w:p>
        </w:tc>
        <w:tc>
          <w:tcPr/>
          <w:p>
            <w:pPr>
              <w:pStyle w:val="Compact"/>
              <w:jc w:val="left"/>
            </w:pPr>
            <w:r>
              <w:t xml:space="preserve">8 (6–11)</w:t>
            </w:r>
          </w:p>
        </w:tc>
        <w:tc>
          <w:tcPr/>
          <w:p>
            <w:pPr>
              <w:pStyle w:val="Compact"/>
              <w:jc w:val="left"/>
            </w:pPr>
            <w:r>
              <w:t xml:space="preserve">14 (11–17)</w:t>
            </w:r>
          </w:p>
        </w:tc>
        <w:tc>
          <w:tcPr/>
          <w:p>
            <w:pPr>
              <w:pStyle w:val="Compact"/>
              <w:jc w:val="left"/>
            </w:pPr>
            <w:r>
              <w:t xml:space="preserve">7 (5–10)</w:t>
            </w:r>
          </w:p>
        </w:tc>
        <w:tc>
          <w:tcPr/>
          <w:p>
            <w:pPr>
              <w:pStyle w:val="Compact"/>
              <w:jc w:val="left"/>
            </w:pPr>
            <w:r>
              <w:t xml:space="preserve">7.7 (7.1–8.4)</w:t>
            </w:r>
          </w:p>
        </w:tc>
        <w:tc>
          <w:tcPr/>
          <w:p>
            <w:pPr>
              <w:pStyle w:val="Compact"/>
              <w:jc w:val="left"/>
            </w:pPr>
            <w:r>
              <w:t xml:space="preserve">3.01</w:t>
            </w:r>
          </w:p>
        </w:tc>
      </w:tr>
    </w:tbl>
    <w:p>
      <w:pPr>
        <w:pStyle w:val="BodyText"/>
      </w:pPr>
      <w:r>
        <w:rPr>
          <w:bCs/>
          <w:b/>
        </w:rPr>
        <w:t xml:space="preserve">(b)</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时期</w:t>
            </w:r>
          </w:p>
        </w:tc>
        <w:tc>
          <w:tcPr/>
          <w:p>
            <w:pPr>
              <w:pStyle w:val="Compact"/>
              <w:jc w:val="left"/>
            </w:pPr>
            <w:r>
              <w:t xml:space="preserve">V→I</w:t>
            </w:r>
          </w:p>
        </w:tc>
        <w:tc>
          <w:tcPr/>
          <w:p>
            <w:pPr>
              <w:pStyle w:val="Compact"/>
              <w:jc w:val="left"/>
            </w:pPr>
            <w:r>
              <w:t xml:space="preserve">IV→I</w:t>
            </w:r>
          </w:p>
        </w:tc>
        <w:tc>
          <w:tcPr/>
          <w:p>
            <w:pPr>
              <w:pStyle w:val="Compact"/>
              <w:jc w:val="left"/>
            </w:pPr>
            <w:r>
              <w:t xml:space="preserve">bVII→I</w:t>
            </w:r>
          </w:p>
        </w:tc>
        <w:tc>
          <w:tcPr/>
          <w:p>
            <w:pPr>
              <w:pStyle w:val="Compact"/>
              <w:jc w:val="left"/>
            </w:pPr>
            <w:r>
              <w:t xml:space="preserve">V→I 解决率</w:t>
            </w:r>
          </w:p>
        </w:tc>
        <w:tc>
          <w:tcPr/>
          <w:p>
            <w:pPr>
              <w:pStyle w:val="Compact"/>
              <w:jc w:val="left"/>
            </w:pPr>
            <w:r>
              <w:t xml:space="preserve">下行五度</w:t>
            </w:r>
          </w:p>
        </w:tc>
        <w:tc>
          <w:tcPr/>
          <w:p>
            <w:pPr>
              <w:pStyle w:val="Compact"/>
              <w:jc w:val="left"/>
            </w:pPr>
            <w:r>
              <w:t xml:space="preserve">级进</w:t>
            </w:r>
          </w:p>
        </w:tc>
        <w:tc>
          <w:tcPr/>
          <w:p>
            <w:pPr>
              <w:pStyle w:val="Compact"/>
              <w:jc w:val="left"/>
            </w:pPr>
            <w:r>
              <w:t xml:space="preserve">三度</w:t>
            </w:r>
          </w:p>
        </w:tc>
      </w:tr>
      <w:tr>
        <w:tc>
          <w:tcPr/>
          <w:p>
            <w:pPr>
              <w:pStyle w:val="Compact"/>
              <w:jc w:val="left"/>
            </w:pPr>
            <w:r>
              <w:t xml:space="preserve">文艺复兴 &lt;1600</w:t>
            </w:r>
          </w:p>
        </w:tc>
        <w:tc>
          <w:tcPr/>
          <w:p>
            <w:pPr>
              <w:pStyle w:val="Compact"/>
              <w:jc w:val="left"/>
            </w:pPr>
            <w:r>
              <w:t xml:space="preserve">50 (49–53)</w:t>
            </w:r>
          </w:p>
        </w:tc>
        <w:tc>
          <w:tcPr/>
          <w:p>
            <w:pPr>
              <w:pStyle w:val="Compact"/>
              <w:jc w:val="left"/>
            </w:pPr>
            <w:r>
              <w:t xml:space="preserve">22 (13–26)</w:t>
            </w:r>
          </w:p>
        </w:tc>
        <w:tc>
          <w:tcPr/>
          <w:p>
            <w:pPr>
              <w:pStyle w:val="Compact"/>
              <w:jc w:val="left"/>
            </w:pPr>
            <w:r>
              <w:t xml:space="preserve">3 (2–3)</w:t>
            </w:r>
          </w:p>
        </w:tc>
        <w:tc>
          <w:tcPr/>
          <w:p>
            <w:pPr>
              <w:pStyle w:val="Compact"/>
              <w:jc w:val="left"/>
            </w:pPr>
            <w:r>
              <w:t xml:space="preserve">69 (66–76)</w:t>
            </w:r>
          </w:p>
        </w:tc>
        <w:tc>
          <w:tcPr/>
          <w:p>
            <w:pPr>
              <w:pStyle w:val="Compact"/>
              <w:jc w:val="left"/>
            </w:pPr>
            <w:r>
              <w:t xml:space="preserve">30 (29–31)</w:t>
            </w:r>
          </w:p>
        </w:tc>
        <w:tc>
          <w:tcPr/>
          <w:p>
            <w:pPr>
              <w:pStyle w:val="Compact"/>
              <w:jc w:val="left"/>
            </w:pPr>
            <w:r>
              <w:t xml:space="preserve">28 (27–28)</w:t>
            </w:r>
          </w:p>
        </w:tc>
        <w:tc>
          <w:tcPr/>
          <w:p>
            <w:pPr>
              <w:pStyle w:val="Compact"/>
              <w:jc w:val="left"/>
            </w:pPr>
            <w:r>
              <w:t xml:space="preserve">14 (12–19)</w:t>
            </w:r>
          </w:p>
        </w:tc>
      </w:tr>
      <w:tr>
        <w:tc>
          <w:tcPr/>
          <w:p>
            <w:pPr>
              <w:pStyle w:val="Compact"/>
              <w:jc w:val="left"/>
            </w:pPr>
            <w:r>
              <w:t xml:space="preserve">早期巴洛克 1600–99</w:t>
            </w:r>
          </w:p>
        </w:tc>
        <w:tc>
          <w:tcPr/>
          <w:p>
            <w:pPr>
              <w:pStyle w:val="Compact"/>
              <w:jc w:val="left"/>
            </w:pPr>
            <w:r>
              <w:t xml:space="preserve">54 (38–63)</w:t>
            </w:r>
          </w:p>
        </w:tc>
        <w:tc>
          <w:tcPr/>
          <w:p>
            <w:pPr>
              <w:pStyle w:val="Compact"/>
              <w:jc w:val="left"/>
            </w:pPr>
            <w:r>
              <w:t xml:space="preserve">11 (8–17)</w:t>
            </w:r>
          </w:p>
        </w:tc>
        <w:tc>
          <w:tcPr/>
          <w:p>
            <w:pPr>
              <w:pStyle w:val="Compact"/>
              <w:jc w:val="left"/>
            </w:pPr>
            <w:r>
              <w:t xml:space="preserve">4 (1–9)</w:t>
            </w:r>
          </w:p>
        </w:tc>
        <w:tc>
          <w:tcPr/>
          <w:p>
            <w:pPr>
              <w:pStyle w:val="Compact"/>
              <w:jc w:val="left"/>
            </w:pPr>
            <w:r>
              <w:t xml:space="preserve">68 (64–73)</w:t>
            </w:r>
          </w:p>
        </w:tc>
        <w:tc>
          <w:tcPr/>
          <w:p>
            <w:pPr>
              <w:pStyle w:val="Compact"/>
              <w:jc w:val="left"/>
            </w:pPr>
            <w:r>
              <w:t xml:space="preserve">34 (26–37)</w:t>
            </w:r>
          </w:p>
        </w:tc>
        <w:tc>
          <w:tcPr/>
          <w:p>
            <w:pPr>
              <w:pStyle w:val="Compact"/>
              <w:jc w:val="left"/>
            </w:pPr>
            <w:r>
              <w:t xml:space="preserve">29 (26–30)</w:t>
            </w:r>
          </w:p>
        </w:tc>
        <w:tc>
          <w:tcPr/>
          <w:p>
            <w:pPr>
              <w:pStyle w:val="Compact"/>
              <w:jc w:val="left"/>
            </w:pPr>
            <w:r>
              <w:t xml:space="preserve">14 (11–20)</w:t>
            </w:r>
          </w:p>
        </w:tc>
      </w:tr>
      <w:tr>
        <w:tc>
          <w:tcPr/>
          <w:p>
            <w:pPr>
              <w:pStyle w:val="Compact"/>
              <w:jc w:val="left"/>
            </w:pPr>
            <w:r>
              <w:t xml:space="preserve">晚期巴洛克 1700–49</w:t>
            </w:r>
          </w:p>
        </w:tc>
        <w:tc>
          <w:tcPr/>
          <w:p>
            <w:pPr>
              <w:pStyle w:val="Compact"/>
              <w:jc w:val="left"/>
            </w:pPr>
            <w:r>
              <w:t xml:space="preserve">63 (59–75)</w:t>
            </w:r>
          </w:p>
        </w:tc>
        <w:tc>
          <w:tcPr/>
          <w:p>
            <w:pPr>
              <w:pStyle w:val="Compact"/>
              <w:jc w:val="left"/>
            </w:pPr>
            <w:r>
              <w:t xml:space="preserve">7 (5–9)</w:t>
            </w:r>
          </w:p>
        </w:tc>
        <w:tc>
          <w:tcPr/>
          <w:p>
            <w:pPr>
              <w:pStyle w:val="Compact"/>
              <w:jc w:val="left"/>
            </w:pPr>
            <w:r>
              <w:t xml:space="preserve">1 (0–1)</w:t>
            </w:r>
          </w:p>
        </w:tc>
        <w:tc>
          <w:tcPr/>
          <w:p>
            <w:pPr>
              <w:pStyle w:val="Compact"/>
              <w:jc w:val="left"/>
            </w:pPr>
            <w:r>
              <w:t xml:space="preserve">63 (61–72)</w:t>
            </w:r>
          </w:p>
        </w:tc>
        <w:tc>
          <w:tcPr/>
          <w:p>
            <w:pPr>
              <w:pStyle w:val="Compact"/>
              <w:jc w:val="left"/>
            </w:pPr>
            <w:r>
              <w:t xml:space="preserve">36 (35–44)</w:t>
            </w:r>
          </w:p>
        </w:tc>
        <w:tc>
          <w:tcPr/>
          <w:p>
            <w:pPr>
              <w:pStyle w:val="Compact"/>
              <w:jc w:val="left"/>
            </w:pPr>
            <w:r>
              <w:t xml:space="preserve">25 (17–31)</w:t>
            </w:r>
          </w:p>
        </w:tc>
        <w:tc>
          <w:tcPr/>
          <w:p>
            <w:pPr>
              <w:pStyle w:val="Compact"/>
              <w:jc w:val="left"/>
            </w:pPr>
            <w:r>
              <w:t xml:space="preserve">11 (7–12)</w:t>
            </w:r>
          </w:p>
        </w:tc>
      </w:tr>
      <w:tr>
        <w:tc>
          <w:tcPr/>
          <w:p>
            <w:pPr>
              <w:pStyle w:val="Compact"/>
              <w:jc w:val="left"/>
            </w:pPr>
            <w:r>
              <w:t xml:space="preserve">古典时期 1750–99</w:t>
            </w:r>
          </w:p>
        </w:tc>
        <w:tc>
          <w:tcPr/>
          <w:p>
            <w:pPr>
              <w:pStyle w:val="Compact"/>
              <w:jc w:val="left"/>
            </w:pPr>
            <w:r>
              <w:t xml:space="preserve">65 (62–67)</w:t>
            </w:r>
          </w:p>
        </w:tc>
        <w:tc>
          <w:tcPr/>
          <w:p>
            <w:pPr>
              <w:pStyle w:val="Compact"/>
              <w:jc w:val="left"/>
            </w:pPr>
            <w:r>
              <w:t xml:space="preserve">8 (6–9)</w:t>
            </w:r>
          </w:p>
        </w:tc>
        <w:tc>
          <w:tcPr/>
          <w:p>
            <w:pPr>
              <w:pStyle w:val="Compact"/>
              <w:jc w:val="left"/>
            </w:pPr>
            <w:r>
              <w:t xml:space="preserve">0 (0–1)</w:t>
            </w:r>
          </w:p>
        </w:tc>
        <w:tc>
          <w:tcPr/>
          <w:p>
            <w:pPr>
              <w:pStyle w:val="Compact"/>
              <w:jc w:val="left"/>
            </w:pPr>
            <w:r>
              <w:t xml:space="preserve">66 (63–68)</w:t>
            </w:r>
          </w:p>
        </w:tc>
        <w:tc>
          <w:tcPr/>
          <w:p>
            <w:pPr>
              <w:pStyle w:val="Compact"/>
              <w:jc w:val="left"/>
            </w:pPr>
            <w:r>
              <w:t xml:space="preserve">36 (34–37)</w:t>
            </w:r>
          </w:p>
        </w:tc>
        <w:tc>
          <w:tcPr/>
          <w:p>
            <w:pPr>
              <w:pStyle w:val="Compact"/>
              <w:jc w:val="left"/>
            </w:pPr>
            <w:r>
              <w:t xml:space="preserve">26 (24–29)</w:t>
            </w:r>
          </w:p>
        </w:tc>
        <w:tc>
          <w:tcPr/>
          <w:p>
            <w:pPr>
              <w:pStyle w:val="Compact"/>
              <w:jc w:val="left"/>
            </w:pPr>
            <w:r>
              <w:t xml:space="preserve">10 (9–11)</w:t>
            </w:r>
          </w:p>
        </w:tc>
      </w:tr>
      <w:tr>
        <w:tc>
          <w:tcPr/>
          <w:p>
            <w:pPr>
              <w:pStyle w:val="Compact"/>
              <w:jc w:val="left"/>
            </w:pPr>
            <w:r>
              <w:t xml:space="preserve">早期浪漫主义 1800–49</w:t>
            </w:r>
          </w:p>
        </w:tc>
        <w:tc>
          <w:tcPr/>
          <w:p>
            <w:pPr>
              <w:pStyle w:val="Compact"/>
              <w:jc w:val="left"/>
            </w:pPr>
            <w:r>
              <w:t xml:space="preserve">64 (59–66)</w:t>
            </w:r>
          </w:p>
        </w:tc>
        <w:tc>
          <w:tcPr/>
          <w:p>
            <w:pPr>
              <w:pStyle w:val="Compact"/>
              <w:jc w:val="left"/>
            </w:pPr>
            <w:r>
              <w:t xml:space="preserve">9 (8–10)</w:t>
            </w:r>
          </w:p>
        </w:tc>
        <w:tc>
          <w:tcPr/>
          <w:p>
            <w:pPr>
              <w:pStyle w:val="Compact"/>
              <w:jc w:val="left"/>
            </w:pPr>
            <w:r>
              <w:t xml:space="preserve">0 (0–1)</w:t>
            </w:r>
          </w:p>
        </w:tc>
        <w:tc>
          <w:tcPr/>
          <w:p>
            <w:pPr>
              <w:pStyle w:val="Compact"/>
              <w:jc w:val="left"/>
            </w:pPr>
            <w:r>
              <w:t xml:space="preserve">65 (58–70)</w:t>
            </w:r>
          </w:p>
        </w:tc>
        <w:tc>
          <w:tcPr/>
          <w:p>
            <w:pPr>
              <w:pStyle w:val="Compact"/>
              <w:jc w:val="left"/>
            </w:pPr>
            <w:r>
              <w:t xml:space="preserve">35 (33–36)</w:t>
            </w:r>
          </w:p>
        </w:tc>
        <w:tc>
          <w:tcPr/>
          <w:p>
            <w:pPr>
              <w:pStyle w:val="Compact"/>
              <w:jc w:val="left"/>
            </w:pPr>
            <w:r>
              <w:t xml:space="preserve">20 (17–23)</w:t>
            </w:r>
          </w:p>
        </w:tc>
        <w:tc>
          <w:tcPr/>
          <w:p>
            <w:pPr>
              <w:pStyle w:val="Compact"/>
              <w:jc w:val="left"/>
            </w:pPr>
            <w:r>
              <w:t xml:space="preserve">10 (9–11)</w:t>
            </w:r>
          </w:p>
        </w:tc>
      </w:tr>
      <w:tr>
        <w:tc>
          <w:tcPr/>
          <w:p>
            <w:pPr>
              <w:pStyle w:val="Compact"/>
              <w:jc w:val="left"/>
            </w:pPr>
            <w:r>
              <w:t xml:space="preserve">晚期浪漫主义 1850–99</w:t>
            </w:r>
          </w:p>
        </w:tc>
        <w:tc>
          <w:tcPr/>
          <w:p>
            <w:pPr>
              <w:pStyle w:val="Compact"/>
              <w:jc w:val="left"/>
            </w:pPr>
            <w:r>
              <w:t xml:space="preserve">52 (49–59)</w:t>
            </w:r>
          </w:p>
        </w:tc>
        <w:tc>
          <w:tcPr/>
          <w:p>
            <w:pPr>
              <w:pStyle w:val="Compact"/>
              <w:jc w:val="left"/>
            </w:pPr>
            <w:r>
              <w:t xml:space="preserve">10 (6–11)</w:t>
            </w:r>
          </w:p>
        </w:tc>
        <w:tc>
          <w:tcPr/>
          <w:p>
            <w:pPr>
              <w:pStyle w:val="Compact"/>
              <w:jc w:val="left"/>
            </w:pPr>
            <w:r>
              <w:t xml:space="preserve">0 (0–1)</w:t>
            </w:r>
          </w:p>
        </w:tc>
        <w:tc>
          <w:tcPr/>
          <w:p>
            <w:pPr>
              <w:pStyle w:val="Compact"/>
              <w:jc w:val="left"/>
            </w:pPr>
            <w:r>
              <w:t xml:space="preserve">55 (50–64)</w:t>
            </w:r>
          </w:p>
        </w:tc>
        <w:tc>
          <w:tcPr/>
          <w:p>
            <w:pPr>
              <w:pStyle w:val="Compact"/>
              <w:jc w:val="left"/>
            </w:pPr>
            <w:r>
              <w:t xml:space="preserve">29 (28–32)</w:t>
            </w:r>
          </w:p>
        </w:tc>
        <w:tc>
          <w:tcPr/>
          <w:p>
            <w:pPr>
              <w:pStyle w:val="Compact"/>
              <w:jc w:val="left"/>
            </w:pPr>
            <w:r>
              <w:t xml:space="preserve">23 (21–25)</w:t>
            </w:r>
          </w:p>
        </w:tc>
        <w:tc>
          <w:tcPr/>
          <w:p>
            <w:pPr>
              <w:pStyle w:val="Compact"/>
              <w:jc w:val="left"/>
            </w:pPr>
            <w:r>
              <w:t xml:space="preserve">14 (11–16)</w:t>
            </w:r>
          </w:p>
        </w:tc>
      </w:tr>
      <w:tr>
        <w:tc>
          <w:tcPr/>
          <w:p>
            <w:pPr>
              <w:pStyle w:val="Compact"/>
              <w:jc w:val="left"/>
            </w:pPr>
            <w:r>
              <w:t xml:space="preserve">20世纪早期 1900–49</w:t>
            </w:r>
          </w:p>
        </w:tc>
        <w:tc>
          <w:tcPr/>
          <w:p>
            <w:pPr>
              <w:pStyle w:val="Compact"/>
              <w:jc w:val="left"/>
            </w:pPr>
            <w:r>
              <w:t xml:space="preserve">43 (34–50)</w:t>
            </w:r>
          </w:p>
        </w:tc>
        <w:tc>
          <w:tcPr/>
          <w:p>
            <w:pPr>
              <w:pStyle w:val="Compact"/>
              <w:jc w:val="left"/>
            </w:pPr>
            <w:r>
              <w:t xml:space="preserve">9 (7–11)</w:t>
            </w:r>
          </w:p>
        </w:tc>
        <w:tc>
          <w:tcPr/>
          <w:p>
            <w:pPr>
              <w:pStyle w:val="Compact"/>
              <w:jc w:val="left"/>
            </w:pPr>
            <w:r>
              <w:t xml:space="preserve">4 (3–5)</w:t>
            </w:r>
          </w:p>
        </w:tc>
        <w:tc>
          <w:tcPr/>
          <w:p>
            <w:pPr>
              <w:pStyle w:val="Compact"/>
              <w:jc w:val="left"/>
            </w:pPr>
            <w:r>
              <w:t xml:space="preserve">51 (39–59)</w:t>
            </w:r>
          </w:p>
        </w:tc>
        <w:tc>
          <w:tcPr/>
          <w:p>
            <w:pPr>
              <w:pStyle w:val="Compact"/>
              <w:jc w:val="left"/>
            </w:pPr>
            <w:r>
              <w:t xml:space="preserve">24 (19–28)</w:t>
            </w:r>
          </w:p>
        </w:tc>
        <w:tc>
          <w:tcPr/>
          <w:p>
            <w:pPr>
              <w:pStyle w:val="Compact"/>
              <w:jc w:val="left"/>
            </w:pPr>
            <w:r>
              <w:t xml:space="preserve">29 (26–33)</w:t>
            </w:r>
          </w:p>
        </w:tc>
        <w:tc>
          <w:tcPr/>
          <w:p>
            <w:pPr>
              <w:pStyle w:val="Compact"/>
              <w:jc w:val="left"/>
            </w:pPr>
            <w:r>
              <w:t xml:space="preserve">19 (15–22)</w:t>
            </w:r>
          </w:p>
        </w:tc>
      </w:tr>
      <w:tr>
        <w:tc>
          <w:tcPr/>
          <w:p>
            <w:pPr>
              <w:pStyle w:val="Compact"/>
              <w:jc w:val="left"/>
            </w:pPr>
            <w:r>
              <w:t xml:space="preserve">爵士：摇摆时代 &lt;1945</w:t>
            </w:r>
          </w:p>
        </w:tc>
        <w:tc>
          <w:tcPr/>
          <w:p>
            <w:pPr>
              <w:pStyle w:val="Compact"/>
              <w:jc w:val="left"/>
            </w:pPr>
            <w:r>
              <w:t xml:space="preserve">67 (61–74)</w:t>
            </w:r>
          </w:p>
        </w:tc>
        <w:tc>
          <w:tcPr/>
          <w:p>
            <w:pPr>
              <w:pStyle w:val="Compact"/>
              <w:jc w:val="left"/>
            </w:pPr>
            <w:r>
              <w:t xml:space="preserve">11 (6–15)</w:t>
            </w:r>
          </w:p>
        </w:tc>
        <w:tc>
          <w:tcPr/>
          <w:p>
            <w:pPr>
              <w:pStyle w:val="Compact"/>
              <w:jc w:val="left"/>
            </w:pPr>
            <w:r>
              <w:t xml:space="preserve">0 (0–1)</w:t>
            </w:r>
          </w:p>
        </w:tc>
        <w:tc>
          <w:tcPr/>
          <w:p>
            <w:pPr>
              <w:pStyle w:val="Compact"/>
              <w:jc w:val="left"/>
            </w:pPr>
            <w:r>
              <w:t xml:space="preserve">87 (84–91)</w:t>
            </w:r>
          </w:p>
        </w:tc>
        <w:tc>
          <w:tcPr/>
          <w:p>
            <w:pPr>
              <w:pStyle w:val="Compact"/>
              <w:jc w:val="left"/>
            </w:pPr>
            <w:r>
              <w:t xml:space="preserve">50 (48–53)</w:t>
            </w:r>
          </w:p>
        </w:tc>
        <w:tc>
          <w:tcPr/>
          <w:p>
            <w:pPr>
              <w:pStyle w:val="Compact"/>
              <w:jc w:val="left"/>
            </w:pPr>
            <w:r>
              <w:t xml:space="preserve">16 (14–20)</w:t>
            </w:r>
          </w:p>
        </w:tc>
        <w:tc>
          <w:tcPr/>
          <w:p>
            <w:pPr>
              <w:pStyle w:val="Compact"/>
              <w:jc w:val="left"/>
            </w:pPr>
            <w:r>
              <w:t xml:space="preserve">12 (10–15)</w:t>
            </w:r>
          </w:p>
        </w:tc>
      </w:tr>
      <w:tr>
        <w:tc>
          <w:tcPr/>
          <w:p>
            <w:pPr>
              <w:pStyle w:val="Compact"/>
              <w:jc w:val="left"/>
            </w:pPr>
            <w:r>
              <w:t xml:space="preserve">爵士：比博普 1945–59</w:t>
            </w:r>
          </w:p>
        </w:tc>
        <w:tc>
          <w:tcPr/>
          <w:p>
            <w:pPr>
              <w:pStyle w:val="Compact"/>
              <w:jc w:val="left"/>
            </w:pPr>
            <w:r>
              <w:t xml:space="preserve">64 (60–69)</w:t>
            </w:r>
          </w:p>
        </w:tc>
        <w:tc>
          <w:tcPr/>
          <w:p>
            <w:pPr>
              <w:pStyle w:val="Compact"/>
              <w:jc w:val="left"/>
            </w:pPr>
            <w:r>
              <w:t xml:space="preserve">15 (11–20)</w:t>
            </w:r>
          </w:p>
        </w:tc>
        <w:tc>
          <w:tcPr/>
          <w:p>
            <w:pPr>
              <w:pStyle w:val="Compact"/>
              <w:jc w:val="left"/>
            </w:pPr>
            <w:r>
              <w:t xml:space="preserve">3 (1–5)</w:t>
            </w:r>
          </w:p>
        </w:tc>
        <w:tc>
          <w:tcPr/>
          <w:p>
            <w:pPr>
              <w:pStyle w:val="Compact"/>
              <w:jc w:val="left"/>
            </w:pPr>
            <w:r>
              <w:t xml:space="preserve">84 (81–88)</w:t>
            </w:r>
          </w:p>
        </w:tc>
        <w:tc>
          <w:tcPr/>
          <w:p>
            <w:pPr>
              <w:pStyle w:val="Compact"/>
              <w:jc w:val="left"/>
            </w:pPr>
            <w:r>
              <w:t xml:space="preserve">56 (53–58)</w:t>
            </w:r>
          </w:p>
        </w:tc>
        <w:tc>
          <w:tcPr/>
          <w:p>
            <w:pPr>
              <w:pStyle w:val="Compact"/>
              <w:jc w:val="left"/>
            </w:pPr>
            <w:r>
              <w:t xml:space="preserve">18 (15–20)</w:t>
            </w:r>
          </w:p>
        </w:tc>
        <w:tc>
          <w:tcPr/>
          <w:p>
            <w:pPr>
              <w:pStyle w:val="Compact"/>
              <w:jc w:val="left"/>
            </w:pPr>
            <w:r>
              <w:t xml:space="preserve">10 (9–11)</w:t>
            </w:r>
          </w:p>
        </w:tc>
      </w:tr>
      <w:tr>
        <w:tc>
          <w:tcPr/>
          <w:p>
            <w:pPr>
              <w:pStyle w:val="Compact"/>
              <w:jc w:val="left"/>
            </w:pPr>
            <w:r>
              <w:t xml:space="preserve">爵士：后博普 1960–74</w:t>
            </w:r>
          </w:p>
        </w:tc>
        <w:tc>
          <w:tcPr/>
          <w:p>
            <w:pPr>
              <w:pStyle w:val="Compact"/>
              <w:jc w:val="left"/>
            </w:pPr>
            <w:r>
              <w:t xml:space="preserve">50 (37–68)</w:t>
            </w:r>
          </w:p>
        </w:tc>
        <w:tc>
          <w:tcPr/>
          <w:p>
            <w:pPr>
              <w:pStyle w:val="Compact"/>
              <w:jc w:val="left"/>
            </w:pPr>
            <w:r>
              <w:t xml:space="preserve">12 (6–18)</w:t>
            </w:r>
          </w:p>
        </w:tc>
        <w:tc>
          <w:tcPr/>
          <w:p>
            <w:pPr>
              <w:pStyle w:val="Compact"/>
              <w:jc w:val="left"/>
            </w:pPr>
            <w:r>
              <w:t xml:space="preserve">6 (2–10)</w:t>
            </w:r>
          </w:p>
        </w:tc>
        <w:tc>
          <w:tcPr/>
          <w:p>
            <w:pPr>
              <w:pStyle w:val="Compact"/>
              <w:jc w:val="left"/>
            </w:pPr>
            <w:r>
              <w:t xml:space="preserve">77 (69–86)</w:t>
            </w:r>
          </w:p>
        </w:tc>
        <w:tc>
          <w:tcPr/>
          <w:p>
            <w:pPr>
              <w:pStyle w:val="Compact"/>
              <w:jc w:val="left"/>
            </w:pPr>
            <w:r>
              <w:t xml:space="preserve">42 (34–50)</w:t>
            </w:r>
          </w:p>
        </w:tc>
        <w:tc>
          <w:tcPr/>
          <w:p>
            <w:pPr>
              <w:pStyle w:val="Compact"/>
              <w:jc w:val="left"/>
            </w:pPr>
            <w:r>
              <w:t xml:space="preserve">32 (25–40)</w:t>
            </w:r>
          </w:p>
        </w:tc>
        <w:tc>
          <w:tcPr/>
          <w:p>
            <w:pPr>
              <w:pStyle w:val="Compact"/>
              <w:jc w:val="left"/>
            </w:pPr>
            <w:r>
              <w:t xml:space="preserve">9 (7–10)</w:t>
            </w:r>
          </w:p>
        </w:tc>
      </w:tr>
      <w:tr>
        <w:tc>
          <w:tcPr/>
          <w:p>
            <w:pPr>
              <w:pStyle w:val="Compact"/>
              <w:jc w:val="left"/>
            </w:pPr>
            <w:r>
              <w:t xml:space="preserve">爵士 1975+</w:t>
            </w:r>
          </w:p>
        </w:tc>
        <w:tc>
          <w:tcPr/>
          <w:p>
            <w:pPr>
              <w:pStyle w:val="Compact"/>
              <w:jc w:val="left"/>
            </w:pPr>
            <w:r>
              <w:t xml:space="preserve">54 (48–59)</w:t>
            </w:r>
          </w:p>
        </w:tc>
        <w:tc>
          <w:tcPr/>
          <w:p>
            <w:pPr>
              <w:pStyle w:val="Compact"/>
              <w:jc w:val="left"/>
            </w:pPr>
            <w:r>
              <w:t xml:space="preserve">15 (10–20)</w:t>
            </w:r>
          </w:p>
        </w:tc>
        <w:tc>
          <w:tcPr/>
          <w:p>
            <w:pPr>
              <w:pStyle w:val="Compact"/>
              <w:jc w:val="left"/>
            </w:pPr>
            <w:r>
              <w:t xml:space="preserve">4 (2–7)</w:t>
            </w:r>
          </w:p>
        </w:tc>
        <w:tc>
          <w:tcPr/>
          <w:p>
            <w:pPr>
              <w:pStyle w:val="Compact"/>
              <w:jc w:val="left"/>
            </w:pPr>
            <w:r>
              <w:t xml:space="preserve">79 (74–86)</w:t>
            </w:r>
          </w:p>
        </w:tc>
        <w:tc>
          <w:tcPr/>
          <w:p>
            <w:pPr>
              <w:pStyle w:val="Compact"/>
              <w:jc w:val="left"/>
            </w:pPr>
            <w:r>
              <w:t xml:space="preserve">47 (43–52)</w:t>
            </w:r>
          </w:p>
        </w:tc>
        <w:tc>
          <w:tcPr/>
          <w:p>
            <w:pPr>
              <w:pStyle w:val="Compact"/>
              <w:jc w:val="left"/>
            </w:pPr>
            <w:r>
              <w:t xml:space="preserve">21 (17–27)</w:t>
            </w:r>
          </w:p>
        </w:tc>
        <w:tc>
          <w:tcPr/>
          <w:p>
            <w:pPr>
              <w:pStyle w:val="Compact"/>
              <w:jc w:val="left"/>
            </w:pPr>
            <w:r>
              <w:t xml:space="preserve">15 (12–18)</w:t>
            </w:r>
          </w:p>
        </w:tc>
      </w:tr>
      <w:tr>
        <w:tc>
          <w:tcPr/>
          <w:p>
            <w:pPr>
              <w:pStyle w:val="Compact"/>
              <w:jc w:val="left"/>
            </w:pPr>
            <w:r>
              <w:t xml:space="preserve">流行 1950–64</w:t>
            </w:r>
          </w:p>
        </w:tc>
        <w:tc>
          <w:tcPr/>
          <w:p>
            <w:pPr>
              <w:pStyle w:val="Compact"/>
              <w:jc w:val="left"/>
            </w:pPr>
            <w:r>
              <w:t xml:space="preserve">47 (42–52)</w:t>
            </w:r>
          </w:p>
        </w:tc>
        <w:tc>
          <w:tcPr/>
          <w:p>
            <w:pPr>
              <w:pStyle w:val="Compact"/>
              <w:jc w:val="left"/>
            </w:pPr>
            <w:r>
              <w:t xml:space="preserve">34 (29–39)</w:t>
            </w:r>
          </w:p>
        </w:tc>
        <w:tc>
          <w:tcPr/>
          <w:p>
            <w:pPr>
              <w:pStyle w:val="Compact"/>
              <w:jc w:val="left"/>
            </w:pPr>
            <w:r>
              <w:t xml:space="preserve">2 (1–4)</w:t>
            </w:r>
          </w:p>
        </w:tc>
        <w:tc>
          <w:tcPr/>
          <w:p>
            <w:pPr>
              <w:pStyle w:val="Compact"/>
              <w:jc w:val="left"/>
            </w:pPr>
            <w:r>
              <w:t xml:space="preserve">70 (65–75)</w:t>
            </w:r>
          </w:p>
        </w:tc>
        <w:tc>
          <w:tcPr/>
          <w:p>
            <w:pPr>
              <w:pStyle w:val="Compact"/>
              <w:jc w:val="left"/>
            </w:pPr>
            <w:r>
              <w:t xml:space="preserve">36 (34–38)</w:t>
            </w:r>
          </w:p>
        </w:tc>
        <w:tc>
          <w:tcPr/>
          <w:p>
            <w:pPr>
              <w:pStyle w:val="Compact"/>
              <w:jc w:val="left"/>
            </w:pPr>
            <w:r>
              <w:t xml:space="preserve">19 (16–22)</w:t>
            </w:r>
          </w:p>
        </w:tc>
        <w:tc>
          <w:tcPr/>
          <w:p>
            <w:pPr>
              <w:pStyle w:val="Compact"/>
              <w:jc w:val="left"/>
            </w:pPr>
            <w:r>
              <w:t xml:space="preserve">14 (11–17)</w:t>
            </w:r>
          </w:p>
        </w:tc>
      </w:tr>
      <w:tr>
        <w:tc>
          <w:tcPr/>
          <w:p>
            <w:pPr>
              <w:pStyle w:val="Compact"/>
              <w:jc w:val="left"/>
            </w:pPr>
            <w:r>
              <w:t xml:space="preserve">流行 1965–74</w:t>
            </w:r>
          </w:p>
        </w:tc>
        <w:tc>
          <w:tcPr/>
          <w:p>
            <w:pPr>
              <w:pStyle w:val="Compact"/>
              <w:jc w:val="left"/>
            </w:pPr>
            <w:r>
              <w:t xml:space="preserve">36 (32–39)</w:t>
            </w:r>
          </w:p>
        </w:tc>
        <w:tc>
          <w:tcPr/>
          <w:p>
            <w:pPr>
              <w:pStyle w:val="Compact"/>
              <w:jc w:val="left"/>
            </w:pPr>
            <w:r>
              <w:t xml:space="preserve">35 (32–40)</w:t>
            </w:r>
          </w:p>
        </w:tc>
        <w:tc>
          <w:tcPr/>
          <w:p>
            <w:pPr>
              <w:pStyle w:val="Compact"/>
              <w:jc w:val="left"/>
            </w:pPr>
            <w:r>
              <w:t xml:space="preserve">6 (5–8)</w:t>
            </w:r>
          </w:p>
        </w:tc>
        <w:tc>
          <w:tcPr/>
          <w:p>
            <w:pPr>
              <w:pStyle w:val="Compact"/>
              <w:jc w:val="left"/>
            </w:pPr>
            <w:r>
              <w:t xml:space="preserve">61 (57–66)</w:t>
            </w:r>
          </w:p>
        </w:tc>
        <w:tc>
          <w:tcPr/>
          <w:p>
            <w:pPr>
              <w:pStyle w:val="Compact"/>
              <w:jc w:val="left"/>
            </w:pPr>
            <w:r>
              <w:t xml:space="preserve">29 (27–31)</w:t>
            </w:r>
          </w:p>
        </w:tc>
        <w:tc>
          <w:tcPr/>
          <w:p>
            <w:pPr>
              <w:pStyle w:val="Compact"/>
              <w:jc w:val="left"/>
            </w:pPr>
            <w:r>
              <w:t xml:space="preserve">27 (25–29)</w:t>
            </w:r>
          </w:p>
        </w:tc>
        <w:tc>
          <w:tcPr/>
          <w:p>
            <w:pPr>
              <w:pStyle w:val="Compact"/>
              <w:jc w:val="left"/>
            </w:pPr>
            <w:r>
              <w:t xml:space="preserve">15 (12–17)</w:t>
            </w:r>
          </w:p>
        </w:tc>
      </w:tr>
      <w:tr>
        <w:tc>
          <w:tcPr/>
          <w:p>
            <w:pPr>
              <w:pStyle w:val="Compact"/>
              <w:jc w:val="left"/>
            </w:pPr>
            <w:r>
              <w:t xml:space="preserve">流行 1975–84</w:t>
            </w:r>
          </w:p>
        </w:tc>
        <w:tc>
          <w:tcPr/>
          <w:p>
            <w:pPr>
              <w:pStyle w:val="Compact"/>
              <w:jc w:val="left"/>
            </w:pPr>
            <w:r>
              <w:t xml:space="preserve">34 (30–39)</w:t>
            </w:r>
          </w:p>
        </w:tc>
        <w:tc>
          <w:tcPr/>
          <w:p>
            <w:pPr>
              <w:pStyle w:val="Compact"/>
              <w:jc w:val="left"/>
            </w:pPr>
            <w:r>
              <w:t xml:space="preserve">32 (28–36)</w:t>
            </w:r>
          </w:p>
        </w:tc>
        <w:tc>
          <w:tcPr/>
          <w:p>
            <w:pPr>
              <w:pStyle w:val="Compact"/>
              <w:jc w:val="left"/>
            </w:pPr>
            <w:r>
              <w:t xml:space="preserve">12 (8–15)</w:t>
            </w:r>
          </w:p>
        </w:tc>
        <w:tc>
          <w:tcPr/>
          <w:p>
            <w:pPr>
              <w:pStyle w:val="Compact"/>
              <w:jc w:val="left"/>
            </w:pPr>
            <w:r>
              <w:t xml:space="preserve">56 (51–61)</w:t>
            </w:r>
          </w:p>
        </w:tc>
        <w:tc>
          <w:tcPr/>
          <w:p>
            <w:pPr>
              <w:pStyle w:val="Compact"/>
              <w:jc w:val="left"/>
            </w:pPr>
            <w:r>
              <w:t xml:space="preserve">26 (24–29)</w:t>
            </w:r>
          </w:p>
        </w:tc>
        <w:tc>
          <w:tcPr/>
          <w:p>
            <w:pPr>
              <w:pStyle w:val="Compact"/>
              <w:jc w:val="left"/>
            </w:pPr>
            <w:r>
              <w:t xml:space="preserve">33 (30–36)</w:t>
            </w:r>
          </w:p>
        </w:tc>
        <w:tc>
          <w:tcPr/>
          <w:p>
            <w:pPr>
              <w:pStyle w:val="Compact"/>
              <w:jc w:val="left"/>
            </w:pPr>
            <w:r>
              <w:t xml:space="preserve">15 (14–17)</w:t>
            </w:r>
          </w:p>
        </w:tc>
      </w:tr>
      <w:tr>
        <w:tc>
          <w:tcPr/>
          <w:p>
            <w:pPr>
              <w:pStyle w:val="Compact"/>
              <w:jc w:val="left"/>
            </w:pPr>
            <w:r>
              <w:t xml:space="preserve">流行 1985+</w:t>
            </w:r>
          </w:p>
        </w:tc>
        <w:tc>
          <w:tcPr/>
          <w:p>
            <w:pPr>
              <w:pStyle w:val="Compact"/>
              <w:jc w:val="left"/>
            </w:pPr>
            <w:r>
              <w:t xml:space="preserve">34 (28–41)</w:t>
            </w:r>
          </w:p>
        </w:tc>
        <w:tc>
          <w:tcPr/>
          <w:p>
            <w:pPr>
              <w:pStyle w:val="Compact"/>
              <w:jc w:val="left"/>
            </w:pPr>
            <w:r>
              <w:t xml:space="preserve">28 (22–36)</w:t>
            </w:r>
          </w:p>
        </w:tc>
        <w:tc>
          <w:tcPr/>
          <w:p>
            <w:pPr>
              <w:pStyle w:val="Compact"/>
              <w:jc w:val="left"/>
            </w:pPr>
            <w:r>
              <w:t xml:space="preserve">14 (9–19)</w:t>
            </w:r>
          </w:p>
        </w:tc>
        <w:tc>
          <w:tcPr/>
          <w:p>
            <w:pPr>
              <w:pStyle w:val="Compact"/>
              <w:jc w:val="left"/>
            </w:pPr>
            <w:r>
              <w:t xml:space="preserve">45 (39–52)</w:t>
            </w:r>
          </w:p>
        </w:tc>
        <w:tc>
          <w:tcPr/>
          <w:p>
            <w:pPr>
              <w:pStyle w:val="Compact"/>
              <w:jc w:val="left"/>
            </w:pPr>
            <w:r>
              <w:t xml:space="preserve">23 (20–25)</w:t>
            </w:r>
          </w:p>
        </w:tc>
        <w:tc>
          <w:tcPr/>
          <w:p>
            <w:pPr>
              <w:pStyle w:val="Compact"/>
              <w:jc w:val="left"/>
            </w:pPr>
            <w:r>
              <w:t xml:space="preserve">33 (30–37)</w:t>
            </w:r>
          </w:p>
        </w:tc>
        <w:tc>
          <w:tcPr/>
          <w:p>
            <w:pPr>
              <w:pStyle w:val="Compact"/>
              <w:jc w:val="left"/>
            </w:pPr>
            <w:r>
              <w:t xml:space="preserve">17 (14–19)</w:t>
            </w:r>
          </w:p>
        </w:tc>
      </w:tr>
    </w:tbl>
    <w:p>
      <w:pPr>
        <w:pStyle w:val="BodyText"/>
      </w:pPr>
      <w:r>
        <w:rPr>
          <w:bCs/>
          <w:b/>
        </w:rPr>
        <w:t xml:space="preserve">表3. Mantel检验与偏Mantel检验。</w:t>
      </w:r>
      <w:r>
        <w:t xml:space="preserve"> </w:t>
      </w:r>
      <w:r>
        <w:t xml:space="preserve">距离矩阵之间的Pearson相关（和声距离：标准化14项测度空间中的欧氏距离；时间距离：中位年份之差；地理距离：城市间的大圆距离），附置换检验p值（5,000次置换），分号之后为对二十项检验进行Benjamini–Hochberg校正后的p值。最后一行加入同体裁指示矩阵作为第二协变量。</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子集</w:t>
            </w:r>
          </w:p>
        </w:tc>
        <w:tc>
          <w:tcPr/>
          <w:p>
            <w:pPr>
              <w:pStyle w:val="Compact"/>
              <w:jc w:val="left"/>
            </w:pPr>
            <w:r>
              <w:t xml:space="preserve">n</w:t>
            </w:r>
          </w:p>
        </w:tc>
        <w:tc>
          <w:tcPr/>
          <w:p>
            <w:pPr>
              <w:pStyle w:val="Compact"/>
              <w:jc w:val="left"/>
            </w:pPr>
            <w:r>
              <w:t xml:space="preserve">和声 ~ 时间</w:t>
            </w:r>
          </w:p>
        </w:tc>
        <w:tc>
          <w:tcPr/>
          <w:p>
            <w:pPr>
              <w:pStyle w:val="Compact"/>
              <w:jc w:val="left"/>
            </w:pPr>
            <w:r>
              <w:t xml:space="preserve">和声 ~ 地理</w:t>
            </w:r>
          </w:p>
        </w:tc>
        <w:tc>
          <w:tcPr/>
          <w:p>
            <w:pPr>
              <w:pStyle w:val="Compact"/>
              <w:jc w:val="left"/>
            </w:pPr>
            <w:r>
              <w:t xml:space="preserve">控制时间后的地理</w:t>
            </w:r>
          </w:p>
        </w:tc>
        <w:tc>
          <w:tcPr/>
          <w:p>
            <w:pPr>
              <w:pStyle w:val="Compact"/>
              <w:jc w:val="left"/>
            </w:pPr>
            <w:r>
              <w:t xml:space="preserve">控制地理后的时间</w:t>
            </w:r>
          </w:p>
        </w:tc>
      </w:tr>
      <w:tr>
        <w:tc>
          <w:tcPr/>
          <w:p>
            <w:pPr>
              <w:pStyle w:val="Compact"/>
              <w:jc w:val="left"/>
            </w:pPr>
            <w:r>
              <w:t xml:space="preserve">全部作曲家与艺术家（5部及以上作品）</w:t>
            </w:r>
          </w:p>
        </w:tc>
        <w:tc>
          <w:tcPr/>
          <w:p>
            <w:pPr>
              <w:pStyle w:val="Compact"/>
              <w:jc w:val="left"/>
            </w:pPr>
            <w:r>
              <w:t xml:space="preserve">136</w:t>
            </w:r>
          </w:p>
        </w:tc>
        <w:tc>
          <w:tcPr/>
          <w:p>
            <w:pPr>
              <w:pStyle w:val="Compact"/>
              <w:jc w:val="left"/>
            </w:pPr>
            <w:r>
              <w:t xml:space="preserve">−0.07 (0.925; 0.973)</w:t>
            </w:r>
          </w:p>
        </w:tc>
        <w:tc>
          <w:tcPr/>
          <w:p>
            <w:pPr>
              <w:pStyle w:val="Compact"/>
              <w:jc w:val="left"/>
            </w:pPr>
            <w:r>
              <w:t xml:space="preserve">0.15 (0.008; 0.028)</w:t>
            </w:r>
          </w:p>
        </w:tc>
        <w:tc>
          <w:tcPr/>
          <w:p>
            <w:pPr>
              <w:pStyle w:val="Compact"/>
              <w:jc w:val="left"/>
            </w:pPr>
            <w:r>
              <w:t xml:space="preserve">0.19 (0.002; 0.017)</w:t>
            </w:r>
          </w:p>
        </w:tc>
        <w:tc>
          <w:tcPr/>
          <w:p>
            <w:pPr>
              <w:pStyle w:val="Compact"/>
              <w:jc w:val="left"/>
            </w:pPr>
            <w:r>
              <w:t xml:space="preserve">−0.13 (0.998; 0.998)</w:t>
            </w:r>
          </w:p>
        </w:tc>
      </w:tr>
      <w:tr>
        <w:tc>
          <w:tcPr/>
          <w:p>
            <w:pPr>
              <w:pStyle w:val="Compact"/>
              <w:jc w:val="left"/>
            </w:pPr>
            <w:r>
              <w:t xml:space="preserve">仅古典作曲家</w:t>
            </w:r>
          </w:p>
        </w:tc>
        <w:tc>
          <w:tcPr/>
          <w:p>
            <w:pPr>
              <w:pStyle w:val="Compact"/>
              <w:jc w:val="left"/>
            </w:pPr>
            <w:r>
              <w:t xml:space="preserve">39</w:t>
            </w:r>
          </w:p>
        </w:tc>
        <w:tc>
          <w:tcPr/>
          <w:p>
            <w:pPr>
              <w:pStyle w:val="Compact"/>
              <w:jc w:val="left"/>
            </w:pPr>
            <w:r>
              <w:t xml:space="preserve">0.29 (0.014; 0.028)</w:t>
            </w:r>
          </w:p>
        </w:tc>
        <w:tc>
          <w:tcPr/>
          <w:p>
            <w:pPr>
              <w:pStyle w:val="Compact"/>
              <w:jc w:val="left"/>
            </w:pPr>
            <w:r>
              <w:t xml:space="preserve">0.01 (0.308; 0.410)</w:t>
            </w:r>
          </w:p>
        </w:tc>
        <w:tc>
          <w:tcPr/>
          <w:p>
            <w:pPr>
              <w:pStyle w:val="Compact"/>
              <w:jc w:val="left"/>
            </w:pPr>
            <w:r>
              <w:t xml:space="preserve">−0.03 (0.455; 0.568)</w:t>
            </w:r>
          </w:p>
        </w:tc>
        <w:tc>
          <w:tcPr/>
          <w:p>
            <w:pPr>
              <w:pStyle w:val="Compact"/>
              <w:jc w:val="left"/>
            </w:pPr>
            <w:r>
              <w:t xml:space="preserve">0.29 (0.013; 0.028)</w:t>
            </w:r>
          </w:p>
        </w:tc>
      </w:tr>
      <w:tr>
        <w:tc>
          <w:tcPr/>
          <w:p>
            <w:pPr>
              <w:pStyle w:val="Compact"/>
              <w:jc w:val="left"/>
            </w:pPr>
            <w:r>
              <w:t xml:space="preserve">仅现代艺术家（爵士、摇滚/流行）</w:t>
            </w:r>
          </w:p>
        </w:tc>
        <w:tc>
          <w:tcPr/>
          <w:p>
            <w:pPr>
              <w:pStyle w:val="Compact"/>
              <w:jc w:val="left"/>
            </w:pPr>
            <w:r>
              <w:t xml:space="preserve">97</w:t>
            </w:r>
          </w:p>
        </w:tc>
        <w:tc>
          <w:tcPr/>
          <w:p>
            <w:pPr>
              <w:pStyle w:val="Compact"/>
              <w:jc w:val="left"/>
            </w:pPr>
            <w:r>
              <w:t xml:space="preserve">0.06 (0.081; 0.135)</w:t>
            </w:r>
          </w:p>
        </w:tc>
        <w:tc>
          <w:tcPr/>
          <w:p>
            <w:pPr>
              <w:pStyle w:val="Compact"/>
              <w:jc w:val="left"/>
            </w:pPr>
            <w:r>
              <w:t xml:space="preserve">0.18 (0.012; 0.028)</w:t>
            </w:r>
          </w:p>
        </w:tc>
        <w:tc>
          <w:tcPr/>
          <w:p>
            <w:pPr>
              <w:pStyle w:val="Compact"/>
              <w:jc w:val="left"/>
            </w:pPr>
            <w:r>
              <w:t xml:space="preserve">0.19 (0.008; 0.028)</w:t>
            </w:r>
          </w:p>
        </w:tc>
        <w:tc>
          <w:tcPr/>
          <w:p>
            <w:pPr>
              <w:pStyle w:val="Compact"/>
              <w:jc w:val="left"/>
            </w:pPr>
            <w:r>
              <w:t xml:space="preserve">0.08 (0.047; 0.086)</w:t>
            </w:r>
          </w:p>
        </w:tc>
      </w:tr>
      <w:tr>
        <w:tc>
          <w:tcPr/>
          <w:p>
            <w:pPr>
              <w:pStyle w:val="Compact"/>
              <w:jc w:val="left"/>
            </w:pPr>
            <w:r>
              <w:t xml:space="preserve">仅爵士演奏家</w:t>
            </w:r>
          </w:p>
        </w:tc>
        <w:tc>
          <w:tcPr/>
          <w:p>
            <w:pPr>
              <w:pStyle w:val="Compact"/>
              <w:jc w:val="left"/>
            </w:pPr>
            <w:r>
              <w:t xml:space="preserve">49</w:t>
            </w:r>
          </w:p>
        </w:tc>
        <w:tc>
          <w:tcPr/>
          <w:p>
            <w:pPr>
              <w:pStyle w:val="Compact"/>
              <w:jc w:val="left"/>
            </w:pPr>
            <w:r>
              <w:t xml:space="preserve">0.23 (0.003; 0.017)</w:t>
            </w:r>
          </w:p>
        </w:tc>
        <w:tc>
          <w:tcPr/>
          <w:p>
            <w:pPr>
              <w:pStyle w:val="Compact"/>
              <w:jc w:val="left"/>
            </w:pPr>
            <w:r>
              <w:t xml:space="preserve">−0.13 (0.884; 0.973)</w:t>
            </w:r>
          </w:p>
        </w:tc>
        <w:tc>
          <w:tcPr/>
          <w:p>
            <w:pPr>
              <w:pStyle w:val="Compact"/>
              <w:jc w:val="left"/>
            </w:pPr>
            <w:r>
              <w:t xml:space="preserve">−0.13 (0.897; 0.973)</w:t>
            </w:r>
          </w:p>
        </w:tc>
        <w:tc>
          <w:tcPr/>
          <w:p>
            <w:pPr>
              <w:pStyle w:val="Compact"/>
              <w:jc w:val="left"/>
            </w:pPr>
            <w:r>
              <w:t xml:space="preserve">0.23 (0.002; 0.017)</w:t>
            </w:r>
          </w:p>
        </w:tc>
      </w:tr>
      <w:tr>
        <w:tc>
          <w:tcPr/>
          <w:p>
            <w:pPr>
              <w:pStyle w:val="Compact"/>
              <w:jc w:val="left"/>
            </w:pPr>
            <w:r>
              <w:t xml:space="preserve">仅摇滚/流行艺术家</w:t>
            </w:r>
          </w:p>
        </w:tc>
        <w:tc>
          <w:tcPr/>
          <w:p>
            <w:pPr>
              <w:pStyle w:val="Compact"/>
              <w:jc w:val="left"/>
            </w:pPr>
            <w:r>
              <w:t xml:space="preserve">48</w:t>
            </w:r>
          </w:p>
        </w:tc>
        <w:tc>
          <w:tcPr/>
          <w:p>
            <w:pPr>
              <w:pStyle w:val="Compact"/>
              <w:jc w:val="left"/>
            </w:pPr>
            <w:r>
              <w:t xml:space="preserve">0.17 (0.011; 0.028)</w:t>
            </w:r>
          </w:p>
        </w:tc>
        <w:tc>
          <w:tcPr/>
          <w:p>
            <w:pPr>
              <w:pStyle w:val="Compact"/>
              <w:jc w:val="left"/>
            </w:pPr>
            <w:r>
              <w:t xml:space="preserve">0.10 (0.138; 0.197)</w:t>
            </w:r>
          </w:p>
        </w:tc>
        <w:tc>
          <w:tcPr/>
          <w:p>
            <w:pPr>
              <w:pStyle w:val="Compact"/>
              <w:jc w:val="left"/>
            </w:pPr>
            <w:r>
              <w:t xml:space="preserve">0.10 (0.137; 0.197)</w:t>
            </w:r>
          </w:p>
        </w:tc>
        <w:tc>
          <w:tcPr/>
          <w:p>
            <w:pPr>
              <w:pStyle w:val="Compact"/>
              <w:jc w:val="left"/>
            </w:pPr>
            <w:r>
              <w:t xml:space="preserve">0.18 (0.009; 0.028)</w:t>
            </w:r>
          </w:p>
        </w:tc>
      </w:tr>
      <w:tr>
        <w:tc>
          <w:tcPr/>
          <w:p>
            <w:pPr>
              <w:pStyle w:val="Compact"/>
              <w:jc w:val="left"/>
            </w:pPr>
            <w:r>
              <w:t xml:space="preserve">现代艺术家，控制时间与体裁后的地理</w:t>
            </w:r>
          </w:p>
        </w:tc>
        <w:tc>
          <w:tcPr/>
          <w:p>
            <w:pPr>
              <w:pStyle w:val="Compact"/>
              <w:jc w:val="left"/>
            </w:pPr>
            <w:r>
              <w:t xml:space="preserve">97</w:t>
            </w:r>
          </w:p>
        </w:tc>
        <w:tc>
          <w:tcPr/>
          <w:p>
            <w:pPr>
              <w:pStyle w:val="Compact"/>
            </w:pPr>
          </w:p>
        </w:tc>
        <w:tc>
          <w:tcPr/>
          <w:p>
            <w:pPr>
              <w:pStyle w:val="Compact"/>
            </w:pPr>
          </w:p>
        </w:tc>
        <w:tc>
          <w:tcPr/>
          <w:p>
            <w:pPr>
              <w:pStyle w:val="Compact"/>
              <w:jc w:val="left"/>
            </w:pPr>
            <w:r>
              <w:t xml:space="preserve">0.15 (0.022)</w:t>
            </w:r>
          </w:p>
        </w:tc>
        <w:tc>
          <w:tcPr/>
          <w:p>
            <w:pPr>
              <w:pStyle w:val="Compact"/>
              <w:jc w:val="left"/>
            </w:pPr>
            <w:r>
              <w:t xml:space="preserve">−0.05 (0.837)</w:t>
            </w:r>
          </w:p>
        </w:tc>
      </w:tr>
    </w:tbl>
    <w:bookmarkEnd w:id="47"/>
    <w:bookmarkStart w:id="63" w:name="图"/>
    <w:p>
      <w:pPr>
        <w:pStyle w:val="Heading2"/>
      </w:pPr>
      <w:r>
        <w:t xml:space="preserve">图</w:t>
      </w:r>
    </w:p>
    <w:p>
      <w:pPr>
        <w:pStyle w:val="FirstParagraph"/>
      </w:pPr>
      <w:r>
        <w:drawing>
          <wp:inline>
            <wp:extent cx="5334000" cy="3219790"/>
            <wp:effectExtent b="0" l="0" r="0" t="0"/>
            <wp:docPr descr="" title="" id="49" name="Picture"/>
            <a:graphic>
              <a:graphicData uri="http://schemas.openxmlformats.org/drawingml/2006/picture">
                <pic:pic>
                  <pic:nvPicPr>
                    <pic:cNvPr descr="/home/claude/harmony-space-time/paper/figures/fig1_trajectories.png" id="50" name="Picture"/>
                    <pic:cNvPicPr>
                      <a:picLocks noChangeArrowheads="1" noChangeAspect="1"/>
                    </pic:cNvPicPr>
                  </pic:nvPicPr>
                  <pic:blipFill>
                    <a:blip r:embed="rId48"/>
                    <a:stretch>
                      <a:fillRect/>
                    </a:stretch>
                  </pic:blipFill>
                  <pic:spPr bwMode="auto">
                    <a:xfrm>
                      <a:off x="0" y="0"/>
                      <a:ext cx="5334000" cy="3219790"/>
                    </a:xfrm>
                    <a:prstGeom prst="rect">
                      <a:avLst/>
                    </a:prstGeom>
                    <a:noFill/>
                    <a:ln w="9525">
                      <a:noFill/>
                      <a:headEnd/>
                      <a:tailEnd/>
                    </a:ln>
                  </pic:spPr>
                </pic:pic>
              </a:graphicData>
            </a:graphic>
          </wp:inline>
        </w:drawing>
      </w:r>
    </w:p>
    <w:p>
      <w:pPr>
        <w:pStyle w:val="BodyText"/>
      </w:pPr>
      <w:r>
        <w:rPr>
          <w:bCs/>
          <w:b/>
        </w:rPr>
        <w:t xml:space="preserve">图1. 和声轨迹，1565–2000。</w:t>
      </w:r>
      <w:r>
        <w:t xml:space="preserve"> </w:t>
      </w:r>
      <w:r>
        <w:t xml:space="preserve">古典音乐（蓝色）、爵士乐（橙色）与流行音乐（绿色）各时期的作品数值均值，附95%按作曲家聚类的自助法置信带。(a) 带有七音（实线）或九音及以上扩展音（虚线）的和弦事件所占比例；流行音乐数值仅来自Billboard。(b) 到达主和弦时由V（实线）、IV（虚线）和bVII（点线）准备的比例。(c) 建立在第5级音上的和弦之后紧接第1级音上和弦的概率。(d) 非自然音和弦（实线）与半音根音上的和弦（虚线）。(e) 随机抽取40个和弦中不同和弦类型的期望数。(f) 给定当前和弦时下一和弦的熵，按时期合并计算。</w:t>
      </w:r>
    </w:p>
    <w:p>
      <w:pPr>
        <w:pStyle w:val="BodyText"/>
      </w:pPr>
      <w:r>
        <w:drawing>
          <wp:inline>
            <wp:extent cx="5334000" cy="2761452"/>
            <wp:effectExtent b="0" l="0" r="0" t="0"/>
            <wp:docPr descr="" title="" id="52" name="Picture"/>
            <a:graphic>
              <a:graphicData uri="http://schemas.openxmlformats.org/drawingml/2006/picture">
                <pic:pic>
                  <pic:nvPicPr>
                    <pic:cNvPr descr="/home/claude/harmony-space-time/paper/figures/fig2_root_motion.png" id="53" name="Picture"/>
                    <pic:cNvPicPr>
                      <a:picLocks noChangeArrowheads="1" noChangeAspect="1"/>
                    </pic:cNvPicPr>
                  </pic:nvPicPr>
                  <pic:blipFill>
                    <a:blip r:embed="rId51"/>
                    <a:stretch>
                      <a:fillRect/>
                    </a:stretch>
                  </pic:blipFill>
                  <pic:spPr bwMode="auto">
                    <a:xfrm>
                      <a:off x="0" y="0"/>
                      <a:ext cx="5334000" cy="2761452"/>
                    </a:xfrm>
                    <a:prstGeom prst="rect">
                      <a:avLst/>
                    </a:prstGeom>
                    <a:noFill/>
                    <a:ln w="9525">
                      <a:noFill/>
                      <a:headEnd/>
                      <a:tailEnd/>
                    </a:ln>
                  </pic:spPr>
                </pic:pic>
              </a:graphicData>
            </a:graphic>
          </wp:inline>
        </w:drawing>
      </w:r>
    </w:p>
    <w:p>
      <w:pPr>
        <w:pStyle w:val="BodyText"/>
      </w:pPr>
      <w:r>
        <w:rPr>
          <w:bCs/>
          <w:b/>
        </w:rPr>
        <w:t xml:space="preserve">图2. 根音进行的三种语法。</w:t>
      </w:r>
      <w:r>
        <w:t xml:space="preserve"> </w:t>
      </w:r>
      <w:r>
        <w:t xml:space="preserve">(a) 各时期按类别划分的全部根音进行所占比例：下行五度、上行五度、级进（一个或两个半音）、三度、其他（三全音、重复）。时期标签按曲目库着色。(b) 六个代表性时期中最常见的六种和弦标记，以其占和弦事件的比例表示。</w:t>
      </w:r>
    </w:p>
    <w:p>
      <w:pPr>
        <w:pStyle w:val="BodyText"/>
      </w:pPr>
      <w:r>
        <w:drawing>
          <wp:inline>
            <wp:extent cx="5334000" cy="4126208"/>
            <wp:effectExtent b="0" l="0" r="0" t="0"/>
            <wp:docPr descr="" title="" id="55" name="Picture"/>
            <a:graphic>
              <a:graphicData uri="http://schemas.openxmlformats.org/drawingml/2006/picture">
                <pic:pic>
                  <pic:nvPicPr>
                    <pic:cNvPr descr="/home/claude/harmony-space-time/paper/figures/fig3_composer_map.png" id="56" name="Picture"/>
                    <pic:cNvPicPr>
                      <a:picLocks noChangeArrowheads="1" noChangeAspect="1"/>
                    </pic:cNvPicPr>
                  </pic:nvPicPr>
                  <pic:blipFill>
                    <a:blip r:embed="rId54"/>
                    <a:stretch>
                      <a:fillRect/>
                    </a:stretch>
                  </pic:blipFill>
                  <pic:spPr bwMode="auto">
                    <a:xfrm>
                      <a:off x="0" y="0"/>
                      <a:ext cx="5334000" cy="4126208"/>
                    </a:xfrm>
                    <a:prstGeom prst="rect">
                      <a:avLst/>
                    </a:prstGeom>
                    <a:noFill/>
                    <a:ln w="9525">
                      <a:noFill/>
                      <a:headEnd/>
                      <a:tailEnd/>
                    </a:ln>
                  </pic:spPr>
                </pic:pic>
              </a:graphicData>
            </a:graphic>
          </wp:inline>
        </w:drawing>
      </w:r>
    </w:p>
    <w:p>
      <w:pPr>
        <w:pStyle w:val="BodyText"/>
      </w:pPr>
      <w:r>
        <w:rPr>
          <w:bCs/>
          <w:b/>
        </w:rPr>
        <w:t xml:space="preserve">图3. 同一张和声地图上的作曲家与艺术家。</w:t>
      </w:r>
      <w:r>
        <w:t xml:space="preserve"> </w:t>
      </w:r>
      <w:r>
        <w:t xml:space="preserve">至少有五部已定位作品的136位作曲家与艺术家，投影在标准化14项测度和声特征的前两个主成分上。颜色表示Ward组别，形状表示曲目库，标记大小表示作品数的对数；淡化的标记表示自助法隶属置信度低于0.5。图中显示了部分人名。</w:t>
      </w:r>
    </w:p>
    <w:p>
      <w:pPr>
        <w:pStyle w:val="BodyText"/>
      </w:pPr>
      <w:r>
        <w:drawing>
          <wp:inline>
            <wp:extent cx="5334000" cy="2500514"/>
            <wp:effectExtent b="0" l="0" r="0" t="0"/>
            <wp:docPr descr="" title="" id="58" name="Picture"/>
            <a:graphic>
              <a:graphicData uri="http://schemas.openxmlformats.org/drawingml/2006/picture">
                <pic:pic>
                  <pic:nvPicPr>
                    <pic:cNvPr descr="/home/claude/harmony-space-time/paper/figures/fig4_space_time.png" id="59" name="Picture"/>
                    <pic:cNvPicPr>
                      <a:picLocks noChangeArrowheads="1" noChangeAspect="1"/>
                    </pic:cNvPicPr>
                  </pic:nvPicPr>
                  <pic:blipFill>
                    <a:blip r:embed="rId57"/>
                    <a:stretch>
                      <a:fillRect/>
                    </a:stretch>
                  </pic:blipFill>
                  <pic:spPr bwMode="auto">
                    <a:xfrm>
                      <a:off x="0" y="0"/>
                      <a:ext cx="5334000" cy="2500514"/>
                    </a:xfrm>
                    <a:prstGeom prst="rect">
                      <a:avLst/>
                    </a:prstGeom>
                    <a:noFill/>
                    <a:ln w="9525">
                      <a:noFill/>
                      <a:headEnd/>
                      <a:tailEnd/>
                    </a:ln>
                  </pic:spPr>
                </pic:pic>
              </a:graphicData>
            </a:graphic>
          </wp:inline>
        </w:drawing>
      </w:r>
    </w:p>
    <w:p>
      <w:pPr>
        <w:pStyle w:val="BodyText"/>
      </w:pPr>
      <w:r>
        <w:rPr>
          <w:bCs/>
          <w:b/>
        </w:rPr>
        <w:t xml:space="preserve">图4. 时空框架。</w:t>
      </w:r>
      <w:r>
        <w:t xml:space="preserve"> </w:t>
      </w:r>
      <w:r>
        <w:t xml:space="preserve">(a) 3,318部已定位作品按其创作城市标示，按年份着色，并标出最大的几个场景（点位经0.25°抖动）。(b) 同一批作品置于（经度，纬度，年份）坐标中，按其所属场景的和声组别着色，并标出作品数超过120的场景。交互版本见 shanem73.github.io/harmony-space-time，可旋转并按年份筛选。</w:t>
      </w:r>
    </w:p>
    <w:p>
      <w:pPr>
        <w:pStyle w:val="BodyText"/>
      </w:pPr>
      <w:r>
        <w:drawing>
          <wp:inline>
            <wp:extent cx="5334000" cy="3564193"/>
            <wp:effectExtent b="0" l="0" r="0" t="0"/>
            <wp:docPr descr="" title="" id="61" name="Picture"/>
            <a:graphic>
              <a:graphicData uri="http://schemas.openxmlformats.org/drawingml/2006/picture">
                <pic:pic>
                  <pic:nvPicPr>
                    <pic:cNvPr descr="/home/claude/harmony-space-time/paper/figures/fig5_robustness.png" id="62" name="Picture"/>
                    <pic:cNvPicPr>
                      <a:picLocks noChangeArrowheads="1" noChangeAspect="1"/>
                    </pic:cNvPicPr>
                  </pic:nvPicPr>
                  <pic:blipFill>
                    <a:blip r:embed="rId60"/>
                    <a:stretch>
                      <a:fillRect/>
                    </a:stretch>
                  </pic:blipFill>
                  <pic:spPr bwMode="auto">
                    <a:xfrm>
                      <a:off x="0" y="0"/>
                      <a:ext cx="5334000" cy="3564193"/>
                    </a:xfrm>
                    <a:prstGeom prst="rect">
                      <a:avLst/>
                    </a:prstGeom>
                    <a:noFill/>
                    <a:ln w="9525">
                      <a:noFill/>
                      <a:headEnd/>
                      <a:tailEnd/>
                    </a:ln>
                  </pic:spPr>
                </pic:pic>
              </a:graphicData>
            </a:graphic>
          </wp:inline>
        </w:drawing>
      </w:r>
    </w:p>
    <w:p>
      <w:pPr>
        <w:pStyle w:val="BodyText"/>
      </w:pPr>
      <w:r>
        <w:rPr>
          <w:bCs/>
          <w:b/>
        </w:rPr>
        <w:t xml:space="preserve">图5. 稳健性。</w:t>
      </w:r>
      <w:r>
        <w:t xml:space="preserve"> </w:t>
      </w:r>
      <w:r>
        <w:t xml:space="preserve">(a–c) 对古典音乐作品层面的V→I比例、下行五度比例与半音根音率进行的单断点最小二乘拟合；灰点为20年分箱的均值，其大小按作品数确定，虚线为拟合的断点年份，阴影带为其95%自助法区间。(d) 标注方式检验：对于在Rock Corpus（罗马数字标记）与McGill Billboard（和弦符号）中均有转录的十二首录音，给出每项测度在两个语料库中的均值、配对相关系数r，以及低于0.05时的Wilcoxon p值。</w:t>
      </w:r>
    </w:p>
    <w:bookmarkEnd w:id="63"/>
    <w:sect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eastAsia="Noto Serif CJK SC" w:hAnsi="Times New Roman"/>
      <w:sz w:val="22"/>
    </w:rPr>
  </w:style>
  <w:style w:styleId="BodyText" w:type="paragraph">
    <w:name w:val="Body Text"/>
    <w:basedOn w:val="Normal"/>
    <w:link w:val="BodyTextChar"/>
    <w:pPr>
      <w:spacing w:after="120" w:before="180" w:line="360" w:lineRule="auto"/>
    </w:pPr>
    <w:qFormat/>
    <w:rPr>
      <w:rFonts w:ascii="Times New Roman" w:eastAsia="Noto Serif CJK SC" w:hAnsi="Times New Roman"/>
      <w:sz w:val="22"/>
    </w:rPr>
  </w:style>
  <w:style w:customStyle="1" w:styleId="FirstParagraph" w:type="paragraph">
    <w:name w:val="First Paragraph"/>
    <w:basedOn w:val="BodyText"/>
    <w:next w:val="BodyText"/>
    <w:qFormat/>
    <w:pPr>
      <w:spacing w:after="120" w:line="360" w:lineRule="auto"/>
    </w:pPr>
    <w:rPr>
      <w:rFonts w:ascii="Times New Roman" w:eastAsia="Noto Serif CJK SC" w:hAnsi="Times New Roman"/>
      <w:sz w:val="22"/>
    </w:rPr>
  </w:style>
  <w:style w:customStyle="1" w:styleId="Compact" w:type="paragraph">
    <w:name w:val="Compact"/>
    <w:basedOn w:val="BodyText"/>
    <w:qFormat/>
    <w:pPr>
      <w:spacing w:after="120" w:before="36" w:line="240" w:lineRule="auto"/>
    </w:pPr>
    <w:rPr>
      <w:rFonts w:ascii="Times New Roman" w:eastAsia="Noto Serif CJK SC" w:hAnsi="Times New Roman"/>
      <w:sz w:val="16"/>
    </w:rPr>
  </w:style>
  <w:style w:styleId="Title" w:type="paragraph">
    <w:name w:val="Title"/>
    <w:basedOn w:val="Normal"/>
    <w:next w:val="BodyText"/>
    <w:qFormat/>
    <w:pPr>
      <w:keepNext/>
      <w:keepLines/>
      <w:spacing w:after="240" w:before="480"/>
      <w:jc w:val="center"/>
    </w:pPr>
    <w:rPr>
      <w:rFonts w:ascii="Times New Roman" w:asciiTheme="majorHAnsi" w:cstheme="majorBidi" w:eastAsia="Noto Serif CJK SC"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eastAsia="Noto Serif CJK SC" w:hAnsi="Times New Roman"/>
      <w:sz w:val="30"/>
      <w:szCs w:val="30"/>
    </w:rPr>
  </w:style>
  <w:style w:customStyle="1" w:styleId="Author" w:type="paragraph">
    <w:name w:val="Author"/>
    <w:next w:val="BodyText"/>
    <w:qFormat/>
    <w:pPr>
      <w:keepNext/>
      <w:keepLines/>
      <w:jc w:val="center"/>
    </w:pPr>
    <w:rPr>
      <w:rFonts w:ascii="Times New Roman" w:eastAsia="Noto Serif CJK SC" w:hAnsi="Times New Roman"/>
    </w:rPr>
  </w:style>
  <w:style w:styleId="Date" w:type="paragraph">
    <w:name w:val="Date"/>
    <w:next w:val="BodyText"/>
    <w:qFormat/>
    <w:pPr>
      <w:keepNext/>
      <w:keepLines/>
      <w:jc w:val="center"/>
    </w:pPr>
    <w:rPr>
      <w:rFonts w:ascii="Times New Roman" w:eastAsia="Noto Serif CJK SC"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Noto Serif CJK SC"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Noto Serif CJK SC" w:hAnsi="Times New Roman"/>
      <w:sz w:val="20"/>
      <w:szCs w:val="20"/>
    </w:rPr>
  </w:style>
  <w:style w:styleId="Bibliography" w:type="paragraph">
    <w:name w:val="Bibliography"/>
    <w:basedOn w:val="Normal"/>
    <w:next w:val="Bibliography"/>
    <w:qFormat/>
    <w:pPr/>
    <w:rPr>
      <w:rFonts w:ascii="Times New Roman" w:eastAsia="Noto Serif CJK SC"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Noto Serif CJK SC"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Noto Serif CJK SC"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Noto Serif CJK SC" w:eastAsiaTheme="majorEastAsia" w:hAnsi="Times New Roman" w:hAnsiTheme="majorHAnsi"/>
      <w:b/>
      <w:bCs/>
      <w:i/>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Noto Serif CJK SC"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Noto Serif CJK SC"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Noto Serif CJK SC"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Noto Serif CJK SC"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Noto Serif CJK SC"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Noto Serif CJK SC"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Noto Serif CJK SC" w:hAnsi="Times New Roman"/>
    </w:rPr>
  </w:style>
  <w:style w:styleId="FootnoteText" w:type="paragraph">
    <w:name w:val="Footnote Text"/>
    <w:basedOn w:val="Normal"/>
    <w:next w:val="FootnoteText"/>
    <w:uiPriority w:val="9"/>
    <w:unhideWhenUsed/>
    <w:qFormat/>
    <w:rPr>
      <w:rFonts w:ascii="Times New Roman" w:eastAsia="Noto Serif CJK SC"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Noto Serif CJK SC" w:hAnsi="Times New Roman"/>
      <w:b/>
    </w:rPr>
  </w:style>
  <w:style w:customStyle="1" w:styleId="Definition" w:type="paragraph">
    <w:name w:val="Definition"/>
    <w:basedOn w:val="Normal"/>
    <w:rPr>
      <w:rFonts w:ascii="Times New Roman" w:eastAsia="Noto Serif CJK SC" w:hAnsi="Times New Roman"/>
    </w:rPr>
  </w:style>
  <w:style w:styleId="Caption" w:type="paragraph">
    <w:name w:val="Caption"/>
    <w:basedOn w:val="Normal"/>
    <w:link w:val="BodyTextChar"/>
    <w:pPr>
      <w:spacing w:after="120" w:before="0"/>
    </w:pPr>
    <w:rPr>
      <w:rFonts w:ascii="Times New Roman" w:eastAsia="Noto Serif CJK SC" w:hAnsi="Times New Roman"/>
      <w:i/>
    </w:rPr>
  </w:style>
  <w:style w:customStyle="1" w:styleId="TableCaption" w:type="paragraph">
    <w:name w:val="Table Caption"/>
    <w:basedOn w:val="Caption"/>
    <w:pPr>
      <w:keepNext/>
    </w:pPr>
    <w:rPr>
      <w:rFonts w:ascii="Times New Roman" w:eastAsia="Noto Serif CJK SC" w:hAnsi="Times New Roman"/>
    </w:rPr>
  </w:style>
  <w:style w:customStyle="1" w:styleId="ImageCaption" w:type="paragraph">
    <w:name w:val="Image Caption"/>
    <w:basedOn w:val="Caption"/>
    <w:rPr>
      <w:rFonts w:ascii="Times New Roman" w:eastAsia="Noto Serif CJK SC" w:hAnsi="Times New Roman"/>
    </w:rPr>
  </w:style>
  <w:style w:customStyle="1" w:styleId="Figure" w:type="paragraph">
    <w:name w:val="Figure"/>
    <w:basedOn w:val="Normal"/>
    <w:rPr>
      <w:rFonts w:ascii="Times New Roman" w:eastAsia="Noto Serif CJK SC" w:hAnsi="Times New Roman"/>
    </w:rPr>
  </w:style>
  <w:style w:customStyle="1" w:styleId="CaptionedFigure" w:type="paragraph">
    <w:name w:val="Captioned Figure"/>
    <w:basedOn w:val="Figure"/>
    <w:pPr>
      <w:keepNext/>
    </w:pPr>
    <w:rPr>
      <w:rFonts w:ascii="Times New Roman" w:eastAsia="Noto Serif CJK SC"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Noto Serif CJK SC"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跨越四个世纪的和声：终止式、半音化与古典、爵士、流行音乐的共同轨迹</dc:title>
  <dc:creator/>
  <cp:keywords/>
  <dcterms:created xsi:type="dcterms:W3CDTF">2026-10-29T23:49:43Z</dcterms:created>
  <dcterms:modified xsi:type="dcterms:W3CDTF">2026-10-29T23:49:43Z</dcterms:modified>
</cp:coreProperties>
</file>

<file path=docProps/custom.xml><?xml version="1.0" encoding="utf-8"?>
<Properties xmlns="http://schemas.openxmlformats.org/officeDocument/2006/custom-properties" xmlns:vt="http://schemas.openxmlformats.org/officeDocument/2006/docPropsVTypes"/>
</file>