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for:</w:t>
      </w:r>
      <w:r>
        <w:t xml:space="preserve"> </w:t>
      </w:r>
      <w:r>
        <w:t xml:space="preserve">Harmony</w:t>
      </w:r>
      <w:r>
        <w:t xml:space="preserve"> </w:t>
      </w:r>
      <w:r>
        <w:t xml:space="preserve">across</w:t>
      </w:r>
      <w:r>
        <w:t xml:space="preserve"> </w:t>
      </w:r>
      <w:r>
        <w:t xml:space="preserve">four</w:t>
      </w:r>
      <w:r>
        <w:t xml:space="preserve"> </w:t>
      </w:r>
      <w:r>
        <w:t xml:space="preserve">centuries:</w:t>
      </w:r>
      <w:r>
        <w:t xml:space="preserve"> </w:t>
      </w:r>
      <w:r>
        <w:t xml:space="preserve">cadence,</w:t>
      </w:r>
      <w:r>
        <w:t xml:space="preserve"> </w:t>
      </w:r>
      <w:r>
        <w:t xml:space="preserve">chromaticism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shared</w:t>
      </w:r>
      <w:r>
        <w:t xml:space="preserve"> </w:t>
      </w:r>
      <w:r>
        <w:t xml:space="preserve">trajectory</w:t>
      </w:r>
      <w:r>
        <w:t xml:space="preserve"> </w:t>
      </w:r>
      <w:r>
        <w:t xml:space="preserve">of</w:t>
      </w:r>
      <w:r>
        <w:t xml:space="preserve"> </w:t>
      </w:r>
      <w:r>
        <w:t xml:space="preserve">classical,</w:t>
      </w:r>
      <w:r>
        <w:t xml:space="preserve"> </w:t>
      </w:r>
      <w:r>
        <w:t xml:space="preserve">jazz</w:t>
      </w:r>
      <w:r>
        <w:t xml:space="preserve"> </w:t>
      </w:r>
      <w:r>
        <w:t xml:space="preserve">and</w:t>
      </w:r>
      <w:r>
        <w:t xml:space="preserve"> </w:t>
      </w:r>
      <w:r>
        <w:t xml:space="preserve">popular</w:t>
      </w:r>
      <w:r>
        <w:t xml:space="preserve"> </w:t>
      </w:r>
      <w:r>
        <w:t xml:space="preserve">music</w:t>
      </w:r>
    </w:p>
    <w:p>
      <w:pPr>
        <w:pStyle w:val="FirstParagraph"/>
      </w:pPr>
      <w:r>
        <w:rPr>
          <w:bCs/>
          <w:b/>
        </w:rPr>
        <w:t xml:space="preserve">Xin (Shane) Miao</w:t>
      </w:r>
      <w:r>
        <w:t xml:space="preserve">, Missouri State University. xinmiao@missouristate.edu</w:t>
      </w:r>
    </w:p>
    <w:p>
      <w:pPr>
        <w:pStyle w:val="BodyText"/>
      </w:pPr>
      <w:r>
        <w:t xml:space="preserve">This file contains Supplementary Tables S1–S9 and Supplementary Figures S1–S2. Supplementary Data 1 (the location table with a cited source for each of the 412 musician entries) is the file</w:t>
      </w:r>
      <w:r>
        <w:t xml:space="preserve"> </w:t>
      </w:r>
      <w:r>
        <w:rPr>
          <w:rStyle w:val="VerbatimChar"/>
        </w:rPr>
        <w:t xml:space="preserve">locations_sources.csv</w:t>
      </w:r>
      <w:r>
        <w:t xml:space="preserve"> </w:t>
      </w:r>
      <w:r>
        <w:t xml:space="preserve">in the repository github.com/ShaneM73/harmony-space-time.</w:t>
      </w:r>
    </w:p>
    <w:p>
      <w:pPr>
        <w:pStyle w:val="BodyText"/>
      </w:pPr>
      <w:r>
        <w:rPr>
          <w:bCs/>
          <w:b/>
        </w:rPr>
        <w:t xml:space="preserve">Supplementary Table S1. Pieces, chord events and composers per era and corpus.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974"/>
        <w:gridCol w:w="852"/>
        <w:gridCol w:w="1096"/>
        <w:gridCol w:w="1462"/>
        <w:gridCol w:w="1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Composers/artists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Minor-mode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Renaissance (&lt;1600)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Renaissance (&lt;1600)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Baroque (1600-99)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Baroque (1600-99)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Baroque (1700-49)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Baroque (1700-49)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(1750-99)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(1750-99)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Romantic (1800-49)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Romantic (1800-49)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Romantic (1850-99)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Romantic (1850-99)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20th c. (1900-49)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20th c. (1900-49)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Swing era (&lt;1945)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WeimarJazz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Bebop/Hard bop (1945-59)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WeimarJazz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Modal/Post-bop (1960-74)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WeimarJazz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1975+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WeimarJazz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S2. Composer-by-composer harmonic profile</w:t>
      </w:r>
      <w:r>
        <w:t xml:space="preserve"> </w:t>
      </w:r>
      <w:r>
        <w:t xml:space="preserve">(classical composers with five or more pieces; means of per-piece values).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9"/>
        <w:gridCol w:w="510"/>
        <w:gridCol w:w="447"/>
        <w:gridCol w:w="510"/>
        <w:gridCol w:w="447"/>
        <w:gridCol w:w="638"/>
        <w:gridCol w:w="766"/>
        <w:gridCol w:w="447"/>
        <w:gridCol w:w="447"/>
        <w:gridCol w:w="638"/>
        <w:gridCol w:w="574"/>
        <w:gridCol w:w="447"/>
        <w:gridCol w:w="447"/>
        <w:gridCol w:w="4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Sevenths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9ths+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Non-diatonic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Chromatic roots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V→I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IV→I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V→I resolves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Desc. 5ths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Vocab/40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Goudimel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Jacopo 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Claudio Monteverdi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Girolamo Frescobaldi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Heinrich Schütz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Arcangelo Corelli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Georg Friedrich Händel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 Couperin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Johann Sebastian Bach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Giovanni Battista Pergolesi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Domenico Scarlatti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Carl Philipp Emanuel Bach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Johann Christian Bach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Franz Joseph Haydn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Wilhelm Friedemann Bach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Wolfgang Amadeus Mozart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Ignaz Pleyel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Leopold Koželuch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Ludwig van Beethoven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Louise Reichardt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Franz Schubert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Felix Mendelssohn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Frédéric Chopin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 Schumann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Fanny Hensel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Josephine 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Clara Schumann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Franz Liszt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Johannes Brahms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Pyotr Ilyich Tchaikovsky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Antonín Dvořák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Hugo 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Edvard Grieg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Gustav Mahler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Samuel Coleridge-Taylor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Béla Bartók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Nikolai Medtner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Erwin Schulhoff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Sergei Rachmaninoff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S3. The 25 space-time scenes</w:t>
      </w:r>
      <w:r>
        <w:t xml:space="preserve"> </w:t>
      </w:r>
      <w:r>
        <w:t xml:space="preserve">(Ward clustering of located pieces in the space-time frame; harmonic group from Ward clustering of scene profiles at four groups).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4"/>
        <w:gridCol w:w="384"/>
        <w:gridCol w:w="384"/>
        <w:gridCol w:w="384"/>
        <w:gridCol w:w="1209"/>
        <w:gridCol w:w="1209"/>
        <w:gridCol w:w="439"/>
        <w:gridCol w:w="549"/>
        <w:gridCol w:w="384"/>
        <w:gridCol w:w="384"/>
        <w:gridCol w:w="494"/>
        <w:gridCol w:w="384"/>
        <w:gridCol w:w="5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 (pieces)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composers (pieces)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Sevenths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Non-diatonic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V→I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IV→I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Desc. 5ths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Harmonic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Metz 1565–1565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Metz (41)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Goudimel (41)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Mantua / Rome 1592–1635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Mantua (54), Rome (47), Florence (6), Venice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Claudio Monteverdi (60), Girolamo Frescobaldi (47), Jacopo Peri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Dresden 1636–1639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Dresden (55), Amsterdam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Heinrich Schütz (55), Jan Pieterszoon Sweelinck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Rome 1681–1694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Rome (146), Naples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Arcangelo Corelli (146), Giovanni Battista Pergolesi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Paris 1717–1724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 (93), London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François Couperin (93), Georg Friedrich Händel (6), Henry Purcell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Leipzig / Köthen 1720–1725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Leipzig (464), Köthen (97), Dresden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Johann Sebastian Bach (561), Wilhelm Friedemann Bach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Madrid 1739–1746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Madrid (69)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Domenico Scarlatti (69)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Hamburg / Berlin 1758–1810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Hamburg (56), Berlin (47)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 Philipp Emanuel Bach (66), Louise Reichardt (31), Wilhelm Friedemann Bach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London 1765–1790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London (30), Strasbourg (6), Paris (4), Bonn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Johann Christian Bach (29), Ignaz Pleyel (6), Wolfgang Amadeus Mozart (5), Ludwig van Beethoven (4), Franz Joseph Haydn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Vienna 1772–1827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Vienna (365), Salzburg (25), Eszterháza (24), Warsaw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Ludwig van Beethoven (203), Franz Schubert (70), Wolfgang Amadeus Mozart (59), Leopold Koželuch (49), Franz Joseph Haydn 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Leipzig / Berlin 1829–1859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Leipzig (66), Berlin (31), Weimar (19), Hamburg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Schumann (45), Felix Mendelssohn (24), Fanny Hensel (20), Franz Liszt (19), Clara Schumann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Paris 1832–1923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 (75), London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Frédéric Chopin (50), Samuel Coleridge-Taylor (7), Nikolai Medtner (5), Claude Debussy (4), Francis Poulenc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Vienna / Prague 1873–1931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Vienna (19), Prague (18), Budapest (14)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Béla Bartók (14), Antonín Dvořák (12), Hugo Wolf (7), Erwin Schulhoff (6), Johannes Brahms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Bergen 1867–1901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Bergen (58), Oslo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Edvard Grieg (66)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Moscow 1876–1917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 (26)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Nikolai Medtner (14), Pyotr Ilyich Tchaikovsky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New York 1931–1975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 (387), Philadelphia (8), Toronto (6), Woodstock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Sergei Rachmaninoff (22), John Coltrane (16), Charlie Parker (15), Miles Davis (13), Sonny Rollins 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Aspen / New Orleans 1957–1980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Aspen (7), New Orleans (5), Shreveport (3), Plainview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 Denver (7), Fats Domino (3), Johnny Horton (3), The String-A-Longs (3), J. Frank Wilson &amp; The Cavaliers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Nashville / Memphis 1956–1980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Nashville (52), Memphis (48), Muscle Shoals (10), Macon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Elvis Presley (27), Brenda Lee (10), Chuck Berry (7), Dr. Hook (6), Wilson Pickett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Detroit / Chicago 1926–1988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Detroit (42), Chicago (36), Rockford (6), Minneapolis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Louis Armstrong (8), Bob Seger (7), Cheap Trick (6), The Miracles (6), Johnny Dodds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 Los Angeles 1954–1989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 (227), San Francisco (22), Bakersfield (2), Phoenix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Beach Boys (11), Chicago (10), Kenny Rogers (8), Ray Charles (7), Benny Carter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 Stockholm / Berlin 1969–1979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Stockholm (7), Berlin (3), Copenhagen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Abba (4), ABBA (3), Dexter Gordon (3), David Bowie (2), Iggy Pop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22. London 1963–1991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London (151), Paris (14), Munich (5), Birmingham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Beatles (22), The Rolling Stones (13), Eric Clapton (8), Rolling Stones (8), Tina Turner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 Miami / Nassau 1971–1991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Miami (6), Nassau (2), Kingston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Cornelius Brothers &amp; Sister Rose (2), Andy Gibb (2), Stevie B (2), Robert Palmer (2), Bob Marley &amp; The Wailers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24. Seattle / Vancouver 1973–1991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 (9), Vancouver (5), Portland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(7), Nirvana (3), The Robert Cray Band (2), Bachman-Turner Overdrive (2), Quarterflash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 New York 1979–1996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 (117), Boston (14), Montreal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Liebman (10), Cyndi Lauper (8), Michael Brecker (8), Joe Lovano (7), Wynton Marsalis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S4. Notation check.</w:t>
      </w:r>
      <w:r>
        <w:t xml:space="preserve"> </w:t>
      </w:r>
      <w:r>
        <w:t xml:space="preserve">Twelve recordings transcribed in both the Rock Corpus and McGill Billboard (Be My Baby; Born To Be Wild; Eight Miles High; Help!; Honky Tonk Women; I Saw Her Standing There; In The Midnight Hour; Maggie May; Sunshine Of Your Love; The Sounds Of Silence; Will You Love Me Tomorrow; With Or Without You). The last column but two gives, for comparison, the range of the era means of that measure across the four popular-music periods.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0"/>
        <w:gridCol w:w="565"/>
        <w:gridCol w:w="646"/>
        <w:gridCol w:w="565"/>
        <w:gridCol w:w="1373"/>
        <w:gridCol w:w="1131"/>
        <w:gridCol w:w="1373"/>
        <w:gridCol w:w="565"/>
        <w:gridCol w:w="6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difference (BB − 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of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across popular 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Wilcoxon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seventh_rate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+0.028 to +0.350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 to +0.143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nondiatonic_rate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 to +0.019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chromatic_root_rate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 to +0.004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 to +0.125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-0.190 to +0.021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bVII_to_I_share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 to +0.009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-0.209 to +0.049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 to +0.012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 to +0.041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 to +0.031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chord_entropy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-0.075 to +0.369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-0.263 to +1.802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beats_per_chord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-1.393 to 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0.129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S5. Mixed-effects models for the classical measures</w:t>
      </w:r>
      <w:r>
        <w:t xml:space="preserve"> </w:t>
      </w:r>
      <w:r>
        <w:t xml:space="preserve">(metric ~ year per century centred on 1750 + hinge after 1850 + corpus [+ mode], random intercept per composer; REML, 59 composers, 2,058 pieces). Brackets give 95% confidence intervals. The cross-repertoire model (year × genre, random intercept per artist) gives V→I share slopes of −0.02 per century (classical), −0.23 (jazz) and −0.33 (popular) over 1900–2000.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4"/>
        <w:gridCol w:w="1307"/>
        <w:gridCol w:w="1235"/>
        <w:gridCol w:w="1017"/>
        <w:gridCol w:w="1089"/>
        <w:gridCol w:w="1089"/>
        <w:gridCol w:w="12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per century (no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Hinge after 1850 (no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(mode-adjusted)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Hinge (mode-adjusted)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Minor-mode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Composer SD / residual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seventh_rate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+0.145 [+0.032, +0.258]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+0.146 [+0.033, +0.259]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 [-0.013, +0.004]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 / 0.090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+0.200 [+0.126, +0.275]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+0.201 [+0.127, +0.276]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 [-0.008, -0.000]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 / 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nondiatonic_rate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+0.140 [+0.024, +0.255]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+0.106 [-0.002, +0.215]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+0.087 [+0.077, +0.096]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 / 0.108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chromatic_root_rate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+0.131 [+0.075, +0.187]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+0.129 [+0.073, +0.185]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 [+0.005, +0.012]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 / 0.039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-0.311 [-0.456, -0.166]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-0.300 [-0.444, -0.156]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 [-0.045, -0.015]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 / 0.160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+0.058 [-0.005, +0.120]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[-0.018, -0.001]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-0.222 [-0.360, -0.083]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-0.224 [-0.363, -0.085]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 [-0.008, +0.022]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 / 0.163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-0.149 [-0.229, -0.069]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-0.139 [-0.216, -0.061]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 [-0.037, -0.023]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 / 0.079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+0.140 [+0.067, +0.213]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+0.130 [+0.057, +0.203]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+0.024 [+0.016, +0.033]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 / 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chord_entropy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+0.932 [+0.389, +1.475]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+0.856 [+0.333, +1.380]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+0.222 [+0.181, +0.262]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0.407 / 0.445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S6. Change points in the classical series</w:t>
      </w:r>
      <w:r>
        <w:t xml:space="preserve"> </w:t>
      </w:r>
      <w:r>
        <w:t xml:space="preserve">(least-squares hinge regression on piece-level values, candidate years 1600–1910 in 5-year steps, 200 bootstrap resamples; positive ΔBIC favours the more complex model).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3"/>
        <w:gridCol w:w="637"/>
        <w:gridCol w:w="1092"/>
        <w:gridCol w:w="1001"/>
        <w:gridCol w:w="1638"/>
        <w:gridCol w:w="1001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single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ΔBIC single break vs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two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ΔBIC two breaks vs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seventh_rate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1690–1890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1720, 1740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nondiatonic_rate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1780–1880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1600, 1690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chromatic_root_rate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1730–1900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1710, 1890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1790–1810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1630, 1800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1810–1860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1740, 1810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1750–1810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1700, 1810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chord_entropy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1600–1880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1600, 1820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S7. No-chord handling.</w:t>
      </w:r>
      <w:r>
        <w:t xml:space="preserve"> </w:t>
      </w:r>
      <w:r>
        <w:t xml:space="preserve">Era means with no-chord stretches bridged (default) and treated as breaks in the progression (strict).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1523"/>
        <w:gridCol w:w="1066"/>
        <w:gridCol w:w="1066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Renaissance (&lt;1600)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Renaissance (&lt;1600)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Renaissance (&lt;1600)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Renaissance (&lt;1600)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Baroque (1600-99)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Baroque (1600-99)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Baroque (1600-99)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Baroque (1600-99)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Baroque (1700-49)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Baroque (1700-49)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Baroque (1700-49)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Baroque (1700-49)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(1750-99)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(1750-99)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(1750-99)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(1750-99)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Romantic (1800-49)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Romantic (1800-49)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Romantic (1800-49)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Romantic (1800-49)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Romantic (1850-99)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Romantic (1850-99)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Romantic (1850-99)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Romantic (1850-99)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20th c. (1900-49)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20th c. (1900-49)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20th c. (1900-49)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20th c. (1900-49)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Swing era (&lt;1945)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Swing era (&lt;1945)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Swing era (&lt;1945)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Swing era (&lt;1945)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Bebop/Hard bop (1945-59)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Bebop/Hard bop (1945-59)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Bebop/Hard bop (1945-59)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Bebop/Hard bop (1945-59)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Modal/Post-bop (1960-74)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Modal/Post-bop (1960-74)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Modal/Post-bop (1960-74)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Modal/Post-bop (1960-74)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1975+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1975+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1975+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Jazz: 1975+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Rock/Pop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S8. Cluster sensitivity.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Rand index vs published six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seventh_rate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extended_rate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nondiatonic_rate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chromatic_root_rate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bVII_to_I_share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step_share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third_share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chord_entropy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tonic_share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minor_quality_share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seventh/extension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chromaticism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cadence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root-motion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distribution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k-means (k=6)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linkage (k=6)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linkage (k=6)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no-chord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S9. Composers present in both classical corpora</w:t>
      </w:r>
      <w:r>
        <w:t xml:space="preserve">, per-corpus means (different pieces in each corpus).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710"/>
        <w:gridCol w:w="710"/>
        <w:gridCol w:w="710"/>
        <w:gridCol w:w="913"/>
        <w:gridCol w:w="1116"/>
        <w:gridCol w:w="710"/>
        <w:gridCol w:w="812"/>
        <w:gridCol w:w="7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Non-diatonic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Chromatic roots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V→I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Desc. 5ths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Claudio Monteverdi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Claudio Monteverdi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Franz Schubert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Franz Schubert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Johann Sebastian Bach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Johann Sebastian Bach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Ludwig van Beethoven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Ludwig van Beethoven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 Schumann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 Schumann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Wolfgang Amadeus Mozart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Wolfgang Amadeus Mozart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3.030</w:t>
            </w:r>
          </w:p>
        </w:tc>
      </w:tr>
    </w:tbl>
    <w:bookmarkStart w:id="26" w:name="supplementary-figures"/>
    <w:p>
      <w:pPr>
        <w:pStyle w:val="Heading2"/>
      </w:pPr>
      <w:r>
        <w:t xml:space="preserve">Supplementary Figures</w:t>
      </w:r>
    </w:p>
    <w:p>
      <w:pPr>
        <w:pStyle w:val="FirstParagraph"/>
      </w:pPr>
      <w:r>
        <w:drawing>
          <wp:inline>
            <wp:extent cx="5334000" cy="339233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claude/harmony-space-time/paper/figures/figS1_seri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Supplementary Figure S1. Fine-grained series.</w:t>
      </w:r>
      <w:r>
        <w:t xml:space="preserve"> </w:t>
      </w:r>
      <w:r>
        <w:t xml:space="preserve">The twelve profile measures by quarter-century (classical) and decade (jazz, popular), bins with at least five pieces; bands are 95% piece-level bootstrap intervals.</w:t>
      </w:r>
    </w:p>
    <w:p>
      <w:pPr>
        <w:pStyle w:val="BodyText"/>
      </w:pPr>
      <w:r>
        <w:drawing>
          <wp:inline>
            <wp:extent cx="5334000" cy="171395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claude/harmony-space-time/paper/figures/figS2_balanc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Supplementary Figure S2. Period-balanced resampling.</w:t>
      </w:r>
      <w:r>
        <w:t xml:space="preserve"> </w:t>
      </w:r>
      <w:r>
        <w:t xml:space="preserve">Era means after capping every composer at 30 pieces per era (circles, with 95% intervals over 200 random draws) against the means over all pieces (squares), for three measures.</w:t>
      </w:r>
    </w:p>
    <w:bookmarkEnd w:id="26"/>
    <w:bookmarkStart w:id="27" w:name="supplementary-data-1"/>
    <w:p>
      <w:pPr>
        <w:pStyle w:val="Heading2"/>
      </w:pPr>
      <w:r>
        <w:t xml:space="preserve">Supplementary Data 1</w:t>
      </w:r>
    </w:p>
    <w:p>
      <w:pPr>
        <w:pStyle w:val="FirstParagraph"/>
      </w:pPr>
      <w:r>
        <w:rPr>
          <w:rStyle w:val="VerbatimChar"/>
        </w:rPr>
        <w:t xml:space="preserve">locations_sources.csv</w:t>
      </w:r>
      <w:r>
        <w:t xml:space="preserve">: one row per musician entry (412 rows: 59 classical composers, 74 jazz performers, 279 popular artists) with columns name, genre, status (confirmed / corrected / uncertain), confidence, timeline (the city or cities assigned, with from-years), basis (one-sentence evidence), source_title, source_url, new_city_latlon.</w:t>
      </w:r>
    </w:p>
    <w:bookmarkEnd w:id="27"/>
    <w:sectPr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120" w:before="180" w:line="360" w:lineRule="auto"/>
    </w:pPr>
    <w:qFormat/>
    <w:rPr>
      <w:rFonts w:ascii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</w:pPr>
    <w:rPr>
      <w:rFonts w:ascii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120" w:before="36" w:line="240" w:lineRule="auto"/>
    </w:pPr>
    <w:rPr>
      <w:rFonts w:ascii="Times New Roman" w:hAnsi="Times New Roman"/>
      <w:sz w:val="1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</w:rPr>
  </w:style>
  <w:style w:customStyle="1" w:styleId="ImageCaption" w:type="paragraph">
    <w:name w:val="Image Caption"/>
    <w:basedOn w:val="Caption"/>
    <w:rPr>
      <w:rFonts w:ascii="Times New Roman" w:hAnsi="Times New Roman"/>
    </w:rPr>
  </w:style>
  <w:style w:customStyle="1" w:styleId="Figure" w:type="paragraph">
    <w:name w:val="Figure"/>
    <w:basedOn w:val="Normal"/>
    <w:rPr>
      <w:rFonts w:ascii="Times New Roman" w:hAnsi="Times New Roman"/>
    </w:r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for: Harmony across four centuries: cadence, chromaticism and the shared trajectory of classical, jazz and popular music</dc:title>
  <dc:creator/>
  <cp:keywords/>
  <dcterms:created xsi:type="dcterms:W3CDTF">2026-10-29T23:49:43Z</dcterms:created>
  <dcterms:modified xsi:type="dcterms:W3CDTF">2026-10-29T23:49:43Z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