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补充信息：四个世纪的和声：终止、半音化与古典、爵士、流行音乐的共同轨迹</w:t>
      </w:r>
    </w:p>
    <w:p>
      <w:pPr>
        <w:pStyle w:val="FirstParagraph"/>
      </w:pPr>
      <w:r>
        <w:rPr>
          <w:bCs/>
          <w:b/>
        </w:rPr>
        <w:t xml:space="preserve">Xin (Shane) Miao</w:t>
      </w:r>
      <w:r>
        <w:t xml:space="preserve">，密苏里州立大学。xinmiao@missouristate.edu</w:t>
      </w:r>
    </w:p>
    <w:p>
      <w:pPr>
        <w:pStyle w:val="BodyText"/>
      </w:pPr>
      <w:r>
        <w:t xml:space="preserve">本文件包含补充表S1–S9和补充图S1–S2。补充数据1（位置表，412位音乐家条目中每一条均附有引用来源）为代码仓库 github.com/ShaneM73/harmony-space-time 中的文件</w:t>
      </w:r>
      <w:r>
        <w:t xml:space="preserve"> </w:t>
      </w:r>
      <w:r>
        <w:rPr>
          <w:rStyle w:val="VerbatimChar"/>
        </w:rPr>
        <w:t xml:space="preserve">locations_sources.csv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补充表S1. 各时期与各语料库的作品数、和弦事件数与作曲家数。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时期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语料库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作品数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和弦事件数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作曲家/艺术家数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小调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文艺复兴（&lt;1600）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文艺复兴（&lt;1600）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早期巴洛克（1600-99）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早期巴洛克（1600-99）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晚期巴洛克（1700-49）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晚期巴洛克（1700-49）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古典时期（1750-99）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古典时期（1750-99）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早期浪漫主义（1800-49）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52634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早期浪漫主义（1800-49）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晚期浪漫主义（1850-99）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晚期浪漫主义（1850-99）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20世纪早期（1900-49）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20世纪早期（1900-49）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爵士：摇摆时代（&lt;1945）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WeimarJazz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爵士：比博普/硬博普（1945-59）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WeimarJazz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爵士：调式/后博普（1960-74）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WeimarJazz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爵士：1975+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WeimarJazz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摇滚/流行 1950-64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摇滚/流行 1950-64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RockCorpus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摇滚/流行 1965-74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摇滚/流行 1965-74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RockCorpus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摇滚/流行 1975-84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摇滚/流行 1975-84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RockCorpus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摇滚/流行 1985+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摇滚/流行 1985+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RockCorpus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</w:tr>
    </w:tbl>
    <w:p>
      <w:pPr>
        <w:pStyle w:val="BodyText"/>
      </w:pPr>
      <w:r>
        <w:rPr>
          <w:bCs/>
          <w:b/>
        </w:rPr>
        <w:t xml:space="preserve">补充表S2. 逐位作曲家的和声特征</w:t>
      </w:r>
      <w:r>
        <w:t xml:space="preserve">（作品数五部及以上的古典作曲家；各作品数值的均值）。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49"/>
        <w:gridCol w:w="510"/>
        <w:gridCol w:w="447"/>
        <w:gridCol w:w="510"/>
        <w:gridCol w:w="447"/>
        <w:gridCol w:w="638"/>
        <w:gridCol w:w="766"/>
        <w:gridCol w:w="447"/>
        <w:gridCol w:w="447"/>
        <w:gridCol w:w="638"/>
        <w:gridCol w:w="574"/>
        <w:gridCol w:w="447"/>
        <w:gridCol w:w="447"/>
        <w:gridCol w:w="44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作曲家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中位年份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作品数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七和弦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九音及以上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非自然音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半音根音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V→I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IV→I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V→I 解决率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下行五度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级进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Vocab/40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克洛德·古迪梅尔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雅各布·佩里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克劳迪奥·蒙特威尔第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吉罗拉莫·弗雷斯科巴尔迪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海因里希·许茨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阿尔坎杰洛·科雷利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格奥尔格·弗里德里希·亨德尔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弗朗索瓦·库普兰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约翰·塞巴斯蒂安·巴赫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乔瓦尼·巴蒂斯塔·佩尔戈莱西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多梅尼科·斯卡拉蒂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卡尔·菲利普·埃马努埃尔·巴赫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约翰·克里斯蒂安·巴赫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弗朗茨·约瑟夫·海顿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威廉·弗里德曼·巴赫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沃尔夫冈·阿马德乌斯·莫扎特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伊格纳茨·普莱耶尔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莱奥波德·科热卢赫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路德维希·范·贝多芬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路易丝·赖夏特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弗朗茨·舒伯特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费利克斯·门德尔松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弗雷德里克·肖邦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罗伯特·舒曼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范妮·亨泽尔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约瑟芬·朗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克拉拉·舒曼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弗朗茨·李斯特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约翰内斯·勃拉姆斯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彼得·伊里奇·柴可夫斯基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安东宁·德沃夏克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胡戈·沃尔夫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爱德华·格里格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古斯塔夫·马勒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塞缪尔·柯勒律治-泰勒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贝拉·巴托克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尼古拉·梅特纳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埃尔温·舒尔霍夫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谢尔盖·拉赫玛尼诺夫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</w:tr>
    </w:tbl>
    <w:p>
      <w:pPr>
        <w:pStyle w:val="BodyText"/>
      </w:pPr>
      <w:r>
        <w:rPr>
          <w:bCs/>
          <w:b/>
        </w:rPr>
        <w:t xml:space="preserve">补充表S3. 25个时空场景</w:t>
      </w:r>
      <w:r>
        <w:t xml:space="preserve">（对时空框架中已定位作品进行Ward聚类；和声组别由对场景特征进行四组Ward聚类得到）。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54"/>
        <w:gridCol w:w="384"/>
        <w:gridCol w:w="384"/>
        <w:gridCol w:w="384"/>
        <w:gridCol w:w="1209"/>
        <w:gridCol w:w="1209"/>
        <w:gridCol w:w="439"/>
        <w:gridCol w:w="549"/>
        <w:gridCol w:w="384"/>
        <w:gridCol w:w="384"/>
        <w:gridCol w:w="494"/>
        <w:gridCol w:w="384"/>
        <w:gridCol w:w="54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作品数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起始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终止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城市（作品数）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主要作曲家（作品数）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七和弦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非自然音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V→I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IV→I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下行五度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和声组别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梅斯 1565–1565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梅斯 (41)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古迪梅尔 (41)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曼托瓦 / 罗马 1592–1635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曼托瓦 (54), 罗马 (47), 佛罗伦萨 (6), 威尼斯 (5)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蒙特威尔第 (60), 弗雷斯科巴尔迪 (47), 佩里 (6)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德累斯顿 1636–1639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德累斯顿 (55), 阿姆斯特丹 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许茨 (55), 斯韦林克 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罗马 1681–1694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罗马 (146), 那不勒斯 (7)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科雷利 (146), 佩尔戈莱西 (7)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巴黎 1717–1724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巴黎 (93), 伦敦 (8)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库普兰 (93), 亨德尔 (6), 珀塞尔 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莱比锡 / 克滕 1720–1725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莱比锡 (464), 克滕 (97), 德累斯顿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J.S.巴赫 (561), W.F.巴赫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马德里 1739–1746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马德里 (69)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D.斯卡拉蒂 (69)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汉堡 / 柏林 1758–1810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汉堡 (56), 柏林 (47)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C.P.E.巴赫 (66), 路易丝·赖夏特 (31), W.F.巴赫 (6)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 伦敦 1765–1790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伦敦 (30), 斯特拉斯堡 (6), 巴黎 (4), 波恩 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J.C.巴赫 (29), 普莱耶尔 (6), 莫扎特 (5), 贝多芬 (4), 海顿 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 维也纳 1772–1827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维也纳 (365), 萨尔茨堡 (25), 埃斯特哈萨 (24), 华沙 (5)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贝多芬 (203), 舒伯特 (70), 莫扎特 (59), 科热卢赫 (49), 海顿 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 莱比锡 / 柏林 1829–1859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莱比锡 (66), 柏林 (31), 魏玛 (19), 汉堡 (8)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罗伯特·舒曼 (45), 门德尔松 (24), 范妮·亨泽尔 (20), 李斯特 (19), 克拉拉·舒曼 (12)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 巴黎 1832–1923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巴黎 (75), 伦敦 (9)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肖邦 (50), 柯勒律治-泰勒 (7), 梅特纳 (5), 德彪西 (4), 普朗克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13. 维也纳 / 布拉格 1873–1931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维也纳 (19), 布拉格 (18), 布达佩斯 (14)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巴托克 (14), 德沃夏克 (12), 沃尔夫 (7), 舒尔霍夫 (6), 勃拉姆斯 (6)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14. 卑尔根 1867–1901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卑尔根 (58), 奥斯陆 (8)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格里格 (66)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 莫斯科 1876–1917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莫斯科 (26)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梅特纳 (14), 柴可夫斯基 (12)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16. 纽约 1931–1975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纽约 (387), 费城 (8), 多伦多 (6), 伍德斯托克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拉赫玛尼诺夫 (22), 约翰·科尔特兰 (16), 查理·帕克 (15), 迈尔斯·戴维斯 (13), 桑尼·罗林斯 (13)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17. 阿斯彭 / 新奥尔良 1957–1980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阿斯彭 (7), 新奥尔良 (5), 什里夫波特 (3), 普莱恩维尤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约翰·丹佛 (7), 胖子多米诺 (3), 约翰尼·霍顿 (3), 斯特林阿隆乐队 (3), J.弗兰克·威尔逊与骑士乐队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18. 纳什维尔 / 孟菲斯 1956–1980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纳什维尔 (52), 孟菲斯 (48), 马斯尔肖尔斯 (10), 梅肯 (9)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埃尔维斯·普雷斯利 (27), 布伦达·李 (10), 查克·贝里 (7), 胡克医生乐队 (6), 威尔逊·皮克特 (6)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19. 底特律 / 芝加哥 1926–1988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底特律 (42), 芝加哥 (36), 罗克福德 (6), 明尼阿波利斯 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路易斯·阿姆斯特朗 (8), 鲍勃·西格 (7), 廉价把戏乐队 (6), 奇迹乐队 (6), 约翰尼·多兹 (6)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20. 洛杉矶 1954–1989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洛杉矶 (227), 旧金山 (22), 贝克斯菲尔德 (2), 菲尼克斯 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海滩男孩 (11), 芝加哥乐队 (10), 肯尼·罗杰斯 (8), 雷·查尔斯 (7), 本尼·卡特 (7)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21. 斯德哥尔摩 / 柏林 1969–1979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斯德哥尔摩 (7), 柏林 (3), 哥本哈根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阿巴 (4), ABBA (3), 德克斯特·戈登 (3), 大卫·鲍伊 (2), 伊基·波普 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22. 伦敦 1963–1991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伦敦 (151), 巴黎 (14), 慕尼黑 (5), 伯明翰 (5)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披头士 (22), 滚石乐队 (13), 埃里克·克莱普顿 (8), 滚石 (8), 蒂娜·特纳 (7)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23. 迈阿密 / 拿骚 1971–1991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迈阿密 (6), 拿骚 (2), 金斯敦 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科尼利厄斯兄弟与罗丝姐妹 (2), 安迪·吉布 (2), 史蒂维·B (2), 罗伯特·帕尔默 (2), 鲍勃·马利与哭泣者乐队 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24. 西雅图 / 温哥华 1973–1991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西雅图 (9), 温哥华 (5), 波特兰 (5)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心脏乐队 (7), 涅槃乐队 (3), 罗伯特·克雷乐队 (2), 巴克曼-特纳超速乐队 (2), 夸特弗拉什乐队 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25. 纽约 1979–1996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纽约 (117), 波士顿 (14), 蒙特利尔 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戴维·利布曼 (10), 辛迪·劳帕 (8), 迈克尔·布雷克 (8), 乔·洛瓦诺 (7), 温顿·马萨利斯 (7)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p>
      <w:pPr>
        <w:pStyle w:val="BodyText"/>
      </w:pPr>
      <w:r>
        <w:rPr>
          <w:bCs/>
          <w:b/>
        </w:rPr>
        <w:t xml:space="preserve">补充表S4. 标注方式检验。</w:t>
      </w:r>
      <w:r>
        <w:t xml:space="preserve"> </w:t>
      </w:r>
      <w:r>
        <w:t xml:space="preserve">在Rock Corpus与McGill Billboard中均有转录的十二首录音（Be My Baby; Born To Be Wild; Eight Miles High; Help!; Honky Tonk Women; I Saw Her Standing There; In The Midnight Hour; Maggie May; Sunshine Of Your Love; The Sounds Of Silence; Will You Love Me Tomorrow; With Or Without You）。倒数第三列给出该测度在四个流行音乐时期的时期均值的极差，以供比较。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50"/>
        <w:gridCol w:w="565"/>
        <w:gridCol w:w="646"/>
        <w:gridCol w:w="565"/>
        <w:gridCol w:w="1373"/>
        <w:gridCol w:w="1131"/>
        <w:gridCol w:w="1373"/>
        <w:gridCol w:w="565"/>
        <w:gridCol w:w="6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Corpus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均值之差（BB − RC）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差值的95%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各流行时期间的极差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Wilcoxon 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seventh_rate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+0.028 to +0.350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extended_rate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-0.009 to +0.143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0.125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nondiatonic_rate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-0.030 to +0.019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chromatic_root_rate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-0.029 to +0.004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V_to_I_share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-0.068 to +0.125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IV_to_I_share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-0.190 to +0.021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bVII_to_I_share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-0.068 to +0.009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dom_resolution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-0.209 to +0.049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down5th_share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-0.076 to +0.012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-0.021 to +0.041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third_share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-0.026 to +0.031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chord_entropy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-0.075 to +0.369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vocab40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-0.263 to +1.802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beats_per_chord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-1.393 to -0.010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0.129</w:t>
            </w:r>
          </w:p>
        </w:tc>
      </w:tr>
    </w:tbl>
    <w:p>
      <w:pPr>
        <w:pStyle w:val="BodyText"/>
      </w:pPr>
      <w:r>
        <w:rPr>
          <w:bCs/>
          <w:b/>
        </w:rPr>
        <w:t xml:space="preserve">补充表S5. 古典测度的混合效应模型</w:t>
      </w:r>
      <w:r>
        <w:t xml:space="preserve">（测度 ~ 以1750年为中心的每世纪年份 + 1850年后的铰链项 + 语料库 [+ 调式]，按作曲家设随机截距；REML，59位作曲家，2,058部作品）。方括号内为95%置信区间。跨曲目库模型（年份 × 体裁，按艺术家设随机截距）给出1900–2000年间V→I比例的斜率为每世纪−0.02（古典）、−0.23（爵士）和−0.33（流行）。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44"/>
        <w:gridCol w:w="1307"/>
        <w:gridCol w:w="1235"/>
        <w:gridCol w:w="1017"/>
        <w:gridCol w:w="1089"/>
        <w:gridCol w:w="1089"/>
        <w:gridCol w:w="123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每世纪斜率（未调整调式）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1850年后铰链项（未调整调式）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斜率（调式调整后）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铰链项（调式调整后）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小调效应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作曲家SD / 残差SD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seventh_rate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+0.145 [+0.032, +0.258]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+0.146 [+0.033, +0.259]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-0.004 [-0.013, +0.004]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0.087 / 0.090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extended_rate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+0.200 [+0.126, +0.275]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+0.201 [+0.127, +0.276]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-0.004 [-0.008, -0.000]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0.080 / 0.042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nondiatonic_rate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+0.140 [+0.024, +0.255]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+0.106 [-0.002, +0.215]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+0.087 [+0.077, +0.096]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0.076 / 0.108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chromatic_root_rate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+0.131 [+0.075, +0.187]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+0.129 [+0.073, +0.185]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+0.009 [+0.005, +0.012]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0.047 / 0.039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V_to_I_share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-0.311 [-0.456, -0.166]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-0.300 [-0.444, -0.156]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-0.030 [-0.045, -0.015]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0.091 / 0.160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IV_to_I_share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+0.058 [-0.005, +0.120]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-0.010 [-0.018, -0.001]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dom_resolution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-0.222 [-0.360, -0.083]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-0.224 [-0.363, -0.085]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+0.007 [-0.008, +0.022]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0.082 / 0.163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down5th_share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-0.149 [-0.229, -0.069]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-0.139 [-0.216, -0.061]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-0.030 [-0.037, -0.023]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0.054 / 0.079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+0.140 [+0.067, +0.213]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+0.130 [+0.057, +0.203]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+0.024 [+0.016, +0.033]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0.045 / 0.089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chord_entropy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+0.932 [+0.389, +1.475]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+0.856 [+0.333, +1.380]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+0.222 [+0.181, +0.262]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0.407 / 0.445</w:t>
            </w:r>
          </w:p>
        </w:tc>
      </w:tr>
    </w:tbl>
    <w:p>
      <w:pPr>
        <w:pStyle w:val="BodyText"/>
      </w:pPr>
      <w:r>
        <w:rPr>
          <w:bCs/>
          <w:b/>
        </w:rPr>
        <w:t xml:space="preserve">补充表S6. 古典序列中的变点</w:t>
      </w:r>
      <w:r>
        <w:t xml:space="preserve">（对作品层面数值进行最小二乘铰链回归，候选年份为1600–1910年、步长5年，200次自助法重抽样；ΔBIC为正表示支持更复杂的模型）。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83"/>
        <w:gridCol w:w="637"/>
        <w:gridCol w:w="1092"/>
        <w:gridCol w:w="1001"/>
        <w:gridCol w:w="1638"/>
        <w:gridCol w:w="1001"/>
        <w:gridCol w:w="13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最佳单断点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95%自助法CI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单断点相对线性模型的ΔBIC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最佳双断点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双断点相对单断点的ΔBIC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seventh_rate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1690–1890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1720, 1740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nondiatonic_rate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1780–1880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1600, 1690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chromatic_root_rate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1730–1900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1710, 1890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V_to_I_share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1790–1810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1630, 1800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dom_resolution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1810–1860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1740, 1810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down5th_share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1750–1810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1700, 1810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chord_entropy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1600–1880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1600, 1820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补充表S7. 无和弦段落的处理。</w:t>
      </w:r>
      <w:r>
        <w:t xml:space="preserve"> </w:t>
      </w:r>
      <w:r>
        <w:t xml:space="preserve">将无和弦段落桥接（默认）与将其视为进行中断（严格）两种处理下的时期均值。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46"/>
        <w:gridCol w:w="1523"/>
        <w:gridCol w:w="1066"/>
        <w:gridCol w:w="1066"/>
        <w:gridCol w:w="12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时期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严格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文艺复兴（&lt;1600）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V_to_I_share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文艺复兴（&lt;1600）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IV_to_I_share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文艺复兴（&lt;1600）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dom_resolution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文艺复兴（&lt;1600）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down5th_share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早期巴洛克（1600-99）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V_to_I_share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早期巴洛克（1600-99）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IV_to_I_share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早期巴洛克（1600-99）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dom_resolution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早期巴洛克（1600-99）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down5th_share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晚期巴洛克（1700-49）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V_to_I_share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晚期巴洛克（1700-49）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IV_to_I_share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晚期巴洛克（1700-49）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dom_resolution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晚期巴洛克（1700-49）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down5th_share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古典时期（1750-99）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V_to_I_share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古典时期（1750-99）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IV_to_I_share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古典时期（1750-99）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dom_resolution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古典时期（1750-99）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down5th_share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早期浪漫主义（1800-49）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V_to_I_share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早期浪漫主义（1800-49）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IV_to_I_share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早期浪漫主义（1800-49）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dom_resolution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早期浪漫主义（1800-49）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down5th_share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晚期浪漫主义（1850-99）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V_to_I_share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晚期浪漫主义（1850-99）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IV_to_I_share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晚期浪漫主义（1850-99）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dom_resolution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晚期浪漫主义（1850-99）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down5th_share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20世纪早期（1900-49）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V_to_I_share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20世纪早期（1900-49）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IV_to_I_share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20世纪早期（1900-49）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dom_resolution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20世纪早期（1900-49）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down5th_share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爵士：摇摆时代（&lt;1945）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V_to_I_share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爵士：摇摆时代（&lt;1945）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IV_to_I_share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爵士：摇摆时代（&lt;1945）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dom_resolution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爵士：摇摆时代（&lt;1945）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down5th_share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爵士：比博普/硬博普（1945-59）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V_to_I_share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爵士：比博普/硬博普（1945-59）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IV_to_I_share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爵士：比博普/硬博普（1945-59）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dom_resolution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爵士：比博普/硬博普（1945-59）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down5th_share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爵士：调式/后博普（1960-74）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V_to_I_share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爵士：调式/后博普（1960-74）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IV_to_I_share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爵士：调式/后博普（1960-74）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dom_resolution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爵士：调式/后博普（1960-74）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down5th_share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爵士：1975+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V_to_I_share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爵士：1975+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IV_to_I_share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爵士：1975+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dom_resolution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爵士：1975+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down5th_share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摇滚/流行 1950-64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V_to_I_share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摇滚/流行 1950-64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IV_to_I_share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摇滚/流行 1950-64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dom_resolution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摇滚/流行 1950-64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down5th_share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摇滚/流行 1965-74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V_to_I_share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摇滚/流行 1965-74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IV_to_I_share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摇滚/流行 1965-74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dom_resolution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摇滚/流行 1965-74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down5th_share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摇滚/流行 1975-84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V_to_I_share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摇滚/流行 1975-84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IV_to_I_share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摇滚/流行 1975-84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dom_resolution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摇滚/流行 1975-84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down5th_share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摇滚/流行 1985+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V_to_I_share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摇滚/流行 1985+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IV_to_I_share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摇滚/流行 1985+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dom_resolution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摇滚/流行 1985+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down5th_share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</w:tr>
    </w:tbl>
    <w:p>
      <w:pPr>
        <w:pStyle w:val="BodyText"/>
      </w:pPr>
      <w:r>
        <w:rPr>
          <w:bCs/>
          <w:b/>
        </w:rPr>
        <w:t xml:space="preserve">补充表S8. 聚类敏感性。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变体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相对已发表六组划分的调整兰德指数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去除 seventh_rate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去除 extended_rate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去除 nondiatonic_rate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去除 chromatic_root_rate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去除 V_to_I_share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去除 IV_to_I_share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去除 bVII_to_I_share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去除 dom_resolution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去除 down5th_share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去除 step_share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去除 third_share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去除 chord_entropy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去除 tonic_share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去除 minor_quality_share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不含七和弦/扩展音特征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不含半音化特征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不含终止特征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不含根音进行特征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不含分布特征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k均值 (k=6)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平均连接法 (k=6)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完全连接法 (k=6)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严格无和弦处理的特征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</w:t>
            </w:r>
          </w:p>
        </w:tc>
      </w:tr>
    </w:tbl>
    <w:p>
      <w:pPr>
        <w:pStyle w:val="BodyText"/>
      </w:pPr>
      <w:r>
        <w:rPr>
          <w:bCs/>
          <w:b/>
        </w:rPr>
        <w:t xml:space="preserve">补充表S9. 同时出现在两个古典语料库中的作曲家</w:t>
      </w:r>
      <w:r>
        <w:t xml:space="preserve">，按语料库分别计算的均值（两个语料库中为不同作品）。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23"/>
        <w:gridCol w:w="710"/>
        <w:gridCol w:w="710"/>
        <w:gridCol w:w="710"/>
        <w:gridCol w:w="913"/>
        <w:gridCol w:w="1116"/>
        <w:gridCol w:w="710"/>
        <w:gridCol w:w="812"/>
        <w:gridCol w:w="7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作曲家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语料库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作品数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七和弦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非自然音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半音根音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V→I 比例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下行五度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克劳迪奥·蒙特威尔第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克劳迪奥·蒙特威尔第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弗朗茨·舒伯特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弗朗茨·舒伯特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约翰·塞巴斯蒂安·巴赫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约翰·塞巴斯蒂安·巴赫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路德维希·范·贝多芬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路德维希·范·贝多芬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罗伯特·舒曼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罗伯特·舒曼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沃尔夫冈·阿马德乌斯·莫扎特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沃尔夫冈·阿马德乌斯·莫扎特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3.030</w:t>
            </w:r>
          </w:p>
        </w:tc>
      </w:tr>
    </w:tbl>
    <w:bookmarkStart w:id="26" w:name="补充图"/>
    <w:p>
      <w:pPr>
        <w:pStyle w:val="Heading2"/>
      </w:pPr>
      <w:r>
        <w:t xml:space="preserve">补充图</w:t>
      </w:r>
    </w:p>
    <w:p>
      <w:pPr>
        <w:pStyle w:val="FirstParagraph"/>
      </w:pPr>
      <w:r>
        <w:drawing>
          <wp:inline>
            <wp:extent cx="5334000" cy="3392334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claude/harmony-space-time/paper/figures/figS1_serie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2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补充图S1. 细粒度序列。</w:t>
      </w:r>
      <w:r>
        <w:t xml:space="preserve"> </w:t>
      </w:r>
      <w:r>
        <w:t xml:space="preserve">十二项特征测度按四分之一世纪（古典）和十年（爵士、流行）分箱，仅包含至少五部作品的分箱；置信带为95%作品层面自助法区间。</w:t>
      </w:r>
    </w:p>
    <w:p>
      <w:pPr>
        <w:pStyle w:val="BodyText"/>
      </w:pPr>
      <w:r>
        <w:drawing>
          <wp:inline>
            <wp:extent cx="5334000" cy="1713953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claude/harmony-space-time/paper/figures/figS2_balance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3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补充图S2. 时期平衡重抽样。</w:t>
      </w:r>
      <w:r>
        <w:t xml:space="preserve"> </w:t>
      </w:r>
      <w:r>
        <w:t xml:space="preserve">将每位作曲家在每个时期的作品数上限设为30部后的时期均值（圆点，附200次随机抽取的95%区间），与全部作品的均值（方块）对比，共三项测度。</w:t>
      </w:r>
    </w:p>
    <w:bookmarkEnd w:id="26"/>
    <w:bookmarkStart w:id="27" w:name="补充数据1"/>
    <w:p>
      <w:pPr>
        <w:pStyle w:val="Heading2"/>
      </w:pPr>
      <w:r>
        <w:t xml:space="preserve">补充数据1</w:t>
      </w:r>
    </w:p>
    <w:p>
      <w:pPr>
        <w:pStyle w:val="FirstParagraph"/>
      </w:pPr>
      <w:r>
        <w:rPr>
          <w:rStyle w:val="VerbatimChar"/>
        </w:rPr>
        <w:t xml:space="preserve">locations_sources.csv</w:t>
      </w:r>
      <w:r>
        <w:t xml:space="preserve">：每位音乐家条目一行（412行：59位古典作曲家、74位爵士演奏家、279位流行艺术家），列包括 name、genre、status（confirmed / corrected / uncertain）、confidence、timeline（所分配的城市及起始年份）、basis（一句话证据）、source_title、source_url、new_city_latlon。</w:t>
      </w:r>
    </w:p>
    <w:bookmarkEnd w:id="27"/>
    <w:sectPr>
      <w:pgMar w:bottom="1417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60" w:lineRule="auto"/>
    </w:pPr>
    <w:rPr>
      <w:rFonts w:ascii="Times New Roman" w:eastAsia="Noto Serif CJK SC" w:hAnsi="Times New Roman"/>
      <w:sz w:val="22"/>
    </w:rPr>
  </w:style>
  <w:style w:styleId="BodyText" w:type="paragraph">
    <w:name w:val="Body Text"/>
    <w:basedOn w:val="Normal"/>
    <w:link w:val="BodyTextChar"/>
    <w:pPr>
      <w:spacing w:after="120" w:before="180" w:line="360" w:lineRule="auto"/>
    </w:pPr>
    <w:qFormat/>
    <w:rPr>
      <w:rFonts w:ascii="Times New Roman" w:eastAsia="Noto Serif CJK SC" w:hAnsi="Times New Roman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 w:line="360" w:lineRule="auto"/>
    </w:pPr>
    <w:rPr>
      <w:rFonts w:ascii="Times New Roman" w:eastAsia="Noto Serif CJK SC" w:hAnsi="Times New Roman"/>
      <w:sz w:val="22"/>
    </w:rPr>
  </w:style>
  <w:style w:customStyle="1" w:styleId="Compact" w:type="paragraph">
    <w:name w:val="Compact"/>
    <w:basedOn w:val="BodyText"/>
    <w:qFormat/>
    <w:pPr>
      <w:spacing w:after="120" w:before="36" w:line="240" w:lineRule="auto"/>
    </w:pPr>
    <w:rPr>
      <w:rFonts w:ascii="Times New Roman" w:eastAsia="Noto Serif CJK SC" w:hAnsi="Times New Roman"/>
      <w:sz w:val="16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asciiTheme="majorHAnsi" w:cstheme="majorBidi" w:eastAsia="Noto Serif CJK SC" w:eastAsiaTheme="majorEastAsia" w:hAnsi="Times New Roman" w:hAnsiTheme="majorHAnsi"/>
      <w:b/>
      <w:bCs/>
      <w:color w:val="000000"/>
      <w:sz w:val="3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eastAsia="Noto Serif CJK SC" w:hAnsi="Times New Roman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eastAsia="Noto Serif CJK SC" w:hAnsi="Times New Roman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eastAsia="Noto Serif CJK SC" w:hAnsi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Times New Roman" w:eastAsia="Noto Serif CJK SC" w:hAnsi="Times New Roman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eastAsia="Noto Serif CJK SC" w:hAnsi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eastAsia="Noto Serif CJK SC" w:hAnsi="Times New Roman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asciiTheme="majorHAnsi" w:cstheme="majorBidi" w:eastAsia="Noto Serif CJK SC" w:eastAsiaTheme="majorEastAsia" w:hAnsi="Times New Roman" w:hAnsiTheme="majorHAnsi"/>
      <w:b/>
      <w:bCs/>
      <w:color w:val="000000"/>
      <w:sz w:val="2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asciiTheme="majorHAnsi" w:cstheme="majorBidi" w:eastAsia="Noto Serif CJK SC" w:eastAsiaTheme="majorEastAsia" w:hAnsi="Times New Roman" w:hAnsiTheme="majorHAnsi"/>
      <w:b/>
      <w:bCs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asciiTheme="majorHAnsi" w:cstheme="majorBidi" w:eastAsia="Noto Serif CJK SC" w:eastAsiaTheme="majorEastAsia" w:hAnsi="Times New Roman" w:hAnsiTheme="majorHAnsi"/>
      <w:b/>
      <w:bCs/>
      <w:i/>
      <w:color w:val="000000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asciiTheme="majorHAnsi" w:cstheme="majorBidi" w:eastAsia="Noto Serif CJK SC" w:eastAsiaTheme="majorEastAsia" w:hAnsi="Times New Roman" w:hAnsiTheme="majorHAnsi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asciiTheme="majorHAnsi" w:cstheme="majorBidi" w:eastAsia="Noto Serif CJK SC" w:eastAsiaTheme="majorEastAsia" w:hAnsi="Times New Roman" w:hAnsiTheme="majorHAnsi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asciiTheme="majorHAnsi" w:cstheme="majorBidi" w:eastAsia="Noto Serif CJK SC" w:eastAsiaTheme="majorEastAsia" w:hAnsi="Times New Roman" w:hAnsiTheme="majorHAnsi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asciiTheme="majorHAnsi" w:cstheme="majorBidi" w:eastAsia="Noto Serif CJK SC" w:eastAsiaTheme="majorEastAsia" w:hAnsi="Times New Roman" w:hAnsiTheme="majorHAnsi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asciiTheme="majorHAnsi" w:cstheme="majorBidi" w:eastAsia="Noto Serif CJK SC" w:eastAsiaTheme="majorEastAsia" w:hAnsi="Times New Roman" w:hAnsiTheme="majorHAnsi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asciiTheme="majorHAnsi" w:cstheme="majorBidi" w:eastAsia="Noto Serif CJK SC" w:eastAsiaTheme="majorEastAsia" w:hAnsi="Times New Roman" w:hAnsiTheme="majorHAnsi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eastAsia="Noto Serif CJK SC" w:hAnsi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eastAsia="Noto Serif CJK SC" w:hAnsi="Times New Roman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eastAsia="Noto Serif CJK SC" w:hAnsi="Times New Roman"/>
      <w:b/>
    </w:rPr>
  </w:style>
  <w:style w:customStyle="1" w:styleId="Definition" w:type="paragraph">
    <w:name w:val="Definition"/>
    <w:basedOn w:val="Normal"/>
    <w:rPr>
      <w:rFonts w:ascii="Times New Roman" w:eastAsia="Noto Serif CJK SC" w:hAnsi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eastAsia="Noto Serif CJK SC" w:hAnsi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eastAsia="Noto Serif CJK SC" w:hAnsi="Times New Roman"/>
    </w:rPr>
  </w:style>
  <w:style w:customStyle="1" w:styleId="ImageCaption" w:type="paragraph">
    <w:name w:val="Image Caption"/>
    <w:basedOn w:val="Caption"/>
    <w:rPr>
      <w:rFonts w:ascii="Times New Roman" w:eastAsia="Noto Serif CJK SC" w:hAnsi="Times New Roman"/>
    </w:rPr>
  </w:style>
  <w:style w:customStyle="1" w:styleId="Figure" w:type="paragraph">
    <w:name w:val="Figure"/>
    <w:basedOn w:val="Normal"/>
    <w:rPr>
      <w:rFonts w:ascii="Times New Roman" w:eastAsia="Noto Serif CJK SC" w:hAnsi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eastAsia="Noto Serif CJK SC" w:hAnsi="Times New Roman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asciiTheme="majorHAnsi" w:cstheme="majorBidi" w:eastAsia="Noto Serif CJK SC" w:eastAsiaTheme="majorEastAsia" w:hAnsi="Times New Roman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补充信息：四个世纪的和声：终止、半音化与古典、爵士、流行音乐的共同轨迹</dc:title>
  <dc:creator/>
  <cp:keywords/>
  <dcterms:created xsi:type="dcterms:W3CDTF">2026-10-29T23:49:43Z</dcterms:created>
  <dcterms:modified xsi:type="dcterms:W3CDTF">2026-10-29T23:49:43Z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