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官方原始数据分析记录</w:t>
      </w:r>
    </w:p>
    <w:p>
      <w:pPr>
        <w:pStyle w:val="Subtitle"/>
      </w:pPr>
      <w:r>
        <w:t>TechArena 2026 Challenge 2　｜　版本 1.1　｜　更新于 2026 年 10 月 6 日</w:t>
      </w:r>
    </w:p>
    <w:p>
      <w:r>
        <w:t>本记录用于持续汇总官方原始数据的字段含义、分布规律、缺失与异常，以及对后续分析的影响。当前已完成温度章节和充放电量与容量相关趋势章节；后续字段总结可作为独立章节追加，并在更新记录中登记范围和结论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964"/>
        <w:gridCol w:w="680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更新日期</w:t>
            </w:r>
          </w:p>
        </w:tc>
        <w:tc>
          <w:tcPr>
            <w:tcW w:type="dxa" w:w="9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本次内容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2026-10-06</w:t>
            </w:r>
          </w:p>
        </w:tc>
        <w:tc>
          <w:tcPr>
            <w:tcW w:type="dxa" w:w="9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新增温度统计、缺失检查、异常筛查及三张图表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2026-10-06</w:t>
            </w:r>
          </w:p>
        </w:tc>
        <w:tc>
          <w:tcPr>
            <w:tcW w:type="dxa" w:w="9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1.1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新增充放电累计量语义、事件端点、固定电压窗口趋势与使用边界</w:t>
            </w:r>
          </w:p>
        </w:tc>
      </w:tr>
    </w:tbl>
    <w:p>
      <w:pPr>
        <w:spacing w:after="0"/>
      </w:pPr>
    </w:p>
    <w:p>
      <w:pPr>
        <w:pStyle w:val="Heading1"/>
      </w:pPr>
      <w:r>
        <w:t>第一章 温度数据</w:t>
      </w:r>
    </w:p>
    <w:p>
      <w:r>
        <w:rPr>
          <w:b w:val="0"/>
        </w:rPr>
        <w:t xml:space="preserve">本章依据官方 data/operation/ 全部 13 个运行文件，合计 </w:t>
      </w:r>
      <w:r>
        <w:rPr>
          <w:b/>
        </w:rPr>
        <w:t>1,572,894 行</w:t>
      </w:r>
      <w:r>
        <w:rPr>
          <w:b w:val="0"/>
        </w:rPr>
        <w:t xml:space="preserve">，记录时间为 </w:t>
      </w:r>
      <w:r>
        <w:rPr>
          <w:b/>
        </w:rPr>
        <w:t>2025-01-19 19:10:56 至 2025-09-11 18:07:11</w:t>
      </w:r>
      <w:r>
        <w:rPr>
          <w:b w:val="0"/>
        </w:rPr>
        <w:t>。分析覆盖全部已公开运行数据，包含 CK7 后记录。</w:t>
      </w:r>
    </w:p>
    <w:p>
      <w:pPr>
        <w:pStyle w:val="Heading2"/>
      </w:pPr>
      <w:r>
        <w:t>主要结论</w:t>
      </w:r>
    </w:p>
    <w:p>
      <w:pPr>
        <w:pStyle w:val="ListBullet"/>
      </w:pPr>
      <w:r>
        <w:rPr>
          <w:b w:val="0"/>
        </w:rPr>
        <w:t xml:space="preserve">温箱设定 25°C 时，实测平均为 </w:t>
      </w:r>
      <w:r>
        <w:rPr>
          <w:b/>
        </w:rPr>
        <w:t>25.63°C</w:t>
      </w:r>
      <w:r>
        <w:rPr>
          <w:b w:val="0"/>
        </w:rPr>
        <w:t xml:space="preserve">；设定 45°C 时，实测平均为 </w:t>
      </w:r>
      <w:r>
        <w:rPr>
          <w:b/>
        </w:rPr>
        <w:t>45.94°C</w:t>
      </w:r>
      <w:r>
        <w:rPr>
          <w:b w:val="0"/>
        </w:rPr>
        <w:t xml:space="preserve">，分别平均高出 </w:t>
      </w:r>
      <w:r>
        <w:rPr>
          <w:b/>
        </w:rPr>
        <w:t>0.63°C、0.94°C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全体记录的最高减最低温差平均为 </w:t>
      </w:r>
      <w:r>
        <w:rPr>
          <w:b/>
        </w:rPr>
        <w:t>1.14°C</w:t>
      </w:r>
      <w:r>
        <w:rPr>
          <w:b w:val="0"/>
        </w:rPr>
        <w:t xml:space="preserve">；平均比最低高约 </w:t>
      </w:r>
      <w:r>
        <w:rPr>
          <w:b/>
        </w:rPr>
        <w:t>0.66°C</w:t>
      </w:r>
      <w:r>
        <w:rPr>
          <w:b w:val="0"/>
        </w:rPr>
        <w:t xml:space="preserve">，最高比平均高约 </w:t>
      </w:r>
      <w:r>
        <w:rPr>
          <w:b/>
        </w:rPr>
        <w:t>0.48°C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已有行的温度字段缺失和大小关系错误均为 </w:t>
      </w:r>
      <w:r>
        <w:rPr>
          <w:b/>
        </w:rPr>
        <w:t>0</w:t>
      </w:r>
      <w:r>
        <w:rPr>
          <w:b w:val="0"/>
        </w:rPr>
        <w:t>，但存在未提供运行段和采样中断。</w:t>
      </w:r>
    </w:p>
    <w:p>
      <w:pPr>
        <w:pStyle w:val="ListBullet"/>
      </w:pPr>
      <w:r>
        <w:rPr>
          <w:b w:val="0"/>
        </w:rPr>
        <w:t xml:space="preserve">按本章探索规则，共 </w:t>
      </w:r>
      <w:r>
        <w:rPr>
          <w:b/>
        </w:rPr>
        <w:t>67 行</w:t>
      </w:r>
      <w:r>
        <w:rPr>
          <w:b w:val="0"/>
        </w:rPr>
        <w:t xml:space="preserve">需要复核，占 </w:t>
      </w:r>
      <w:r>
        <w:rPr>
          <w:b/>
        </w:rPr>
        <w:t>0.00426%</w:t>
      </w:r>
      <w:r>
        <w:rPr>
          <w:b w:val="0"/>
        </w:rPr>
        <w:t>；这不等于已经确认 67 行坏数据。</w:t>
      </w:r>
    </w:p>
    <w:p>
      <w:pPr>
        <w:pStyle w:val="Heading2"/>
      </w:pPr>
      <w:r>
        <w:t>温度字段与统计口径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406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chamber_temperature_C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温箱设定值，只有 25°C、45°C 两档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temp_mean_C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电芯温度传感器读数的平均值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temp_min_C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同一时刻传感器读数的最低值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temp_max_C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同一时刻传感器读数的最高值</w:t>
            </w:r>
          </w:p>
        </w:tc>
      </w:tr>
    </w:tbl>
    <w:p>
      <w:pPr>
        <w:spacing w:after="0"/>
      </w:pPr>
    </w:p>
    <w:p>
      <w:r>
        <w:rPr>
          <w:b w:val="0"/>
        </w:rPr>
        <w:t>“标称温度”在本章指温箱设定值，不是温箱空气温度的独立实测值。各温度传感器的数量、位置、精度及独立通道未提供，不能将最大或最小温度归属于某一枚特定电芯。</w:t>
      </w:r>
    </w:p>
    <w:p>
      <w:pPr>
        <w:pStyle w:val="Heading2"/>
        <w:pageBreakBefore/>
        <w:spacing w:before="0"/>
      </w:pPr>
      <w:r>
        <w:t>平均温度与温箱设定值</w:t>
      </w:r>
    </w:p>
    <w:p>
      <w:r>
        <w:rPr>
          <w:b w:val="0"/>
        </w:rPr>
        <w:t xml:space="preserve">25°C 档有 </w:t>
      </w:r>
      <w:r>
        <w:rPr>
          <w:b/>
        </w:rPr>
        <w:t>529,012 行</w:t>
      </w:r>
      <w:r>
        <w:rPr>
          <w:b w:val="0"/>
        </w:rPr>
        <w:t xml:space="preserve">，45°C 档有 </w:t>
      </w:r>
      <w:r>
        <w:rPr>
          <w:b/>
        </w:rPr>
        <w:t>1,043,882 行</w:t>
      </w:r>
      <w:r>
        <w:rPr>
          <w:b w:val="0"/>
        </w:rPr>
        <w:t>。先逐行计算温差，再按记录行等权汇总；“90% 区间”为第 5 至第 95 百分位，不是预测置信区间。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2608"/>
        <w:gridCol w:w="2608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25°C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45°C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25.627°C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45.939°C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实测平均减设定值的平均偏差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+0.627°C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+0.939°C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偏差中位数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+0.56°C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+0.91°C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偏差的 90% 区间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+0.19 至 +1.31°C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+0.50 至 +1.51°C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实测平均温度的全部范围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24.89 至 27.49°C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44.10 至 47.61°C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实测平均高于设定值的行占比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99.86%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99.995%</w:t>
            </w:r>
          </w:p>
        </w:tc>
      </w:tr>
    </w:tbl>
    <w:p>
      <w:pPr>
        <w:spacing w:after="0"/>
      </w:pPr>
    </w:p>
    <w:p>
      <w:r>
        <w:rPr>
          <w:b w:val="0"/>
        </w:rPr>
        <w:t>实测平均温度通常高于设定值，但偏差并不恒定。充放电发热、温箱调节、传感器位置或校准差异都是可能解释；当前数据不能将它们分开，也不能将偏差全部认定为测量误差。</w:t>
      </w:r>
    </w:p>
    <w:p>
      <w:r>
        <w:rPr>
          <w:b w:val="0"/>
        </w:rPr>
        <w:t>按电流描述性分组，25°C 档充电／放电平均偏差为 +0.729／+0.500°C；45°C 档为 +1.032／+0.827°C。充电定义为 &gt;0.5 A，放电为 &lt;-0.5 A。该比较没有匹配 SOC、时间和静置状态，不能视作独立发热效应。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82182"/>
            <wp:docPr id="1" name="Picture 1" descr="图 1　官方运行温度及传感器温差。来源为 2025 年 1至9月运行数据，每 30 分钟按已有样本取平均；空白不插值。浅色区域是最低与最高温度的时间窗均值，不是原始极值包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8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1　官方运行温度及传感器温差。来源为 2025 年 1至9月运行数据，每 30 分钟按已有样本取平均；空白不插值。浅色区域是最低与最高温度的时间窗均值，不是原始极值包络。</w:t>
      </w:r>
    </w:p>
    <w:p>
      <w:r>
        <w:rPr>
          <w:b w:val="0"/>
        </w:rPr>
        <w:t>逐段偏差也在变化：45°C 档第 1 段为 +1.071°C，第 13 段为 +0.789°C。可见单一固定修正量不能描述全部片段；变化原因和老化贡献仍需另外验证。</w:t>
      </w:r>
    </w:p>
    <w:p>
      <w:pPr>
        <w:pStyle w:val="Heading2"/>
        <w:pageBreakBefore/>
        <w:spacing w:before="0"/>
      </w:pPr>
      <w:r>
        <w:t>平均温度与最高最低温度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2608"/>
        <w:gridCol w:w="2608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25°C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45°C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最低温度的总体均值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24.949°C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45.287°C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平均温度的总体均值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25.627°C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45.939°C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26.104°C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46.415°C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平均减最低的平均差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0.678°C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0.652°C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最高减平均的平均差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0.477°C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0.476°C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最高减最低的平均差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1.155°C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1.127°C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最高减最低的 90% 区间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0.90 至 1.40°C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0.90 至 1.40°C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最高减最低的最大值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2.20°C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3.60°C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两档的通常温差接近，45°C 档没有表现出更大的平均传感器温差。全体最高减最低平均为 </w:t>
      </w:r>
      <w:r>
        <w:rPr>
          <w:b/>
        </w:rPr>
        <w:t>1.137°C</w:t>
      </w:r>
      <w:r>
        <w:rPr>
          <w:b w:val="0"/>
        </w:rPr>
        <w:t xml:space="preserve">，两档的第 1 至第 99 百分位区间均为 </w:t>
      </w:r>
      <w:r>
        <w:rPr>
          <w:b/>
        </w:rPr>
        <w:t>0.8 至 1.5°C</w:t>
      </w:r>
      <w:r>
        <w:rPr>
          <w:b w:val="0"/>
        </w:rPr>
        <w:t>。由于大量读数重复，区间包含比例不必恰好等于 98%。</w:t>
      </w:r>
    </w:p>
    <w:p>
      <w:r>
        <w:rPr>
          <w:b w:val="0"/>
        </w:rPr>
        <w:t xml:space="preserve">平均温度并非最高与最低的简单中点：全体平均值比两端中点高约 </w:t>
      </w:r>
      <w:r>
        <w:rPr>
          <w:b/>
        </w:rPr>
        <w:t>0.092°C</w:t>
      </w:r>
      <w:r>
        <w:rPr>
          <w:b w:val="0"/>
        </w:rPr>
        <w:t>，略偏向较高温一侧。这是传感器统计关系，不能定位具体偏热电芯。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38036"/>
            <wp:docPr id="2" name="Picture 2" descr="图 2　平均温度偏差与最高减最低温差的分布。来源为全部官方运行记录，25°C、45°C 分别计算档位内部样本百分比，未按日历时间补齐缺失记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3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2　平均温度偏差与最高减最低温差的分布。来源为全部官方运行记录，25°C、45°C 分别计算档位内部样本百分比，未按日历时间补齐缺失记录。</w:t>
      </w:r>
    </w:p>
    <w:p>
      <w:pPr>
        <w:pStyle w:val="Heading2"/>
      </w:pPr>
      <w:r>
        <w:t>记录中的实测取值范围</w:t>
      </w:r>
    </w:p>
    <w:p>
      <w:r>
        <w:rPr>
          <w:b w:val="0"/>
        </w:rPr>
        <w:t xml:space="preserve">平均温度为 </w:t>
      </w:r>
      <w:r>
        <w:rPr>
          <w:b/>
        </w:rPr>
        <w:t>24.89 至 47.61°C</w:t>
      </w:r>
      <w:r>
        <w:rPr>
          <w:b w:val="0"/>
        </w:rPr>
        <w:t xml:space="preserve">，最低通道为 </w:t>
      </w:r>
      <w:r>
        <w:rPr>
          <w:b/>
        </w:rPr>
        <w:t>23.9 至 47.0°C</w:t>
      </w:r>
      <w:r>
        <w:rPr>
          <w:b w:val="0"/>
        </w:rPr>
        <w:t xml:space="preserve">，最高通道为 </w:t>
      </w:r>
      <w:r>
        <w:rPr>
          <w:b/>
        </w:rPr>
        <w:t>25.2 至 48.3°C</w:t>
      </w:r>
      <w:r>
        <w:rPr>
          <w:b w:val="0"/>
        </w:rPr>
        <w:t>。没有明显零值占位或巨大数值，但取值范围合理并不证明传感器校准准确。</w:t>
      </w:r>
    </w:p>
    <w:p>
      <w:pPr>
        <w:pStyle w:val="Heading2"/>
        <w:pageBreakBefore/>
        <w:spacing w:before="0"/>
      </w:pPr>
      <w:r>
        <w:t>字段缺失与异常筛查</w:t>
      </w:r>
    </w:p>
    <w:p>
      <w:r>
        <w:rPr>
          <w:b w:val="0"/>
        </w:rPr>
        <w:t xml:space="preserve">四个温度字段共 </w:t>
      </w:r>
      <w:r>
        <w:rPr>
          <w:b/>
        </w:rPr>
        <w:t>6,291,576 个数值位置</w:t>
      </w:r>
      <w:r>
        <w:rPr>
          <w:b w:val="0"/>
        </w:rPr>
        <w:t>。以下检查针对已提供记录；时间覆盖缺口另列下一页。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3"/>
        <w:gridCol w:w="2721"/>
      </w:tblGrid>
      <w:tr>
        <w:trPr>
          <w:cantSplit/>
          <w:tblHeader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空值或 NaN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个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任一温度字段缺失的记录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行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正负无穷等非有限值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个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三个实测温度字段中的零值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个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设定值不是 25°C 或 45°C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行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不满足最低 ≤ 平均 ≤ 最高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行</w:t>
            </w:r>
          </w:p>
        </w:tc>
      </w:tr>
    </w:tbl>
    <w:p>
      <w:pPr>
        <w:spacing w:after="0"/>
      </w:pPr>
    </w:p>
    <w:p>
      <w:r>
        <w:rPr>
          <w:b w:val="0"/>
        </w:rPr>
        <w:t>本章采用两条</w:t>
      </w:r>
      <w:r>
        <w:rPr>
          <w:b/>
        </w:rPr>
        <w:t>探索筛查规则</w:t>
      </w:r>
      <w:r>
        <w:rPr>
          <w:b w:val="0"/>
        </w:rPr>
        <w:t>，不是官方报警标准或仪器精度阈值：</w:t>
      </w:r>
    </w:p>
    <w:p>
      <w:pPr>
        <w:pStyle w:val="ListBullet"/>
      </w:pPr>
      <w:r>
        <w:rPr>
          <w:b w:val="0"/>
        </w:rPr>
        <w:t xml:space="preserve">最高减最低 </w:t>
      </w:r>
      <w:r>
        <w:rPr>
          <w:b/>
        </w:rPr>
        <w:t>&gt;2°C</w:t>
      </w:r>
      <w:r>
        <w:rPr>
          <w:b w:val="0"/>
        </w:rPr>
        <w:t>：</w:t>
      </w:r>
      <w:r>
        <w:rPr>
          <w:b/>
        </w:rPr>
        <w:t>63 行</w:t>
      </w:r>
      <w:r>
        <w:rPr>
          <w:b w:val="0"/>
        </w:rPr>
        <w:t>，占 0.00401%；其中 &gt;3°C 有 18 行。</w:t>
      </w:r>
    </w:p>
    <w:p>
      <w:pPr>
        <w:pStyle w:val="ListBullet"/>
      </w:pPr>
      <w:r>
        <w:rPr>
          <w:b w:val="0"/>
        </w:rPr>
        <w:t xml:space="preserve">同文件相邻有效记录的任一实测温度变化 </w:t>
      </w:r>
      <w:r>
        <w:rPr>
          <w:b/>
        </w:rPr>
        <w:t>&gt;0.5°C</w:t>
      </w:r>
      <w:r>
        <w:rPr>
          <w:b w:val="0"/>
        </w:rPr>
        <w:t>：</w:t>
      </w:r>
      <w:r>
        <w:rPr>
          <w:b/>
        </w:rPr>
        <w:t>9 行</w:t>
      </w:r>
      <w:r>
        <w:rPr>
          <w:b w:val="0"/>
        </w:rPr>
        <w:t>。只比较时间间隔 &gt;0 且 ≤30 秒的记录；命中的间隔均为 10 秒，全部来自最低温度通道，变化最大 0.8°C。</w:t>
      </w:r>
    </w:p>
    <w:p>
      <w:r>
        <w:rPr>
          <w:b w:val="0"/>
        </w:rPr>
        <w:t xml:space="preserve">两类重叠 5 行，合并后为 </w:t>
      </w:r>
      <w:r>
        <w:rPr>
          <w:b/>
        </w:rPr>
        <w:t>67 行，占 0.00426%</w:t>
      </w:r>
      <w:r>
        <w:rPr>
          <w:b w:val="0"/>
        </w:rPr>
        <w:t>。若将突跳阈值改为 &gt;1°C 或 &gt;2°C，均为 0 行。67 行分布于 1 月 22 日（10 行）、4 月 18 日（8 行）、7 月 11 日（31 行）、7 月 14 日（18 行）。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2400"/>
            <wp:docPr id="3" name="Picture 3" descr="图 3　第 11 段最大温差附近的原始采样。2025-07-11 13:52:02：设定 45°C，最低 42.40°C，平均 44.49°C，最高 46.00°C，温差为全体最大值 3.60°C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st_spread_epis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3　第 11 段最大温差附近的原始采样。2025-07-11 13:52:02：设定 45°C，最低 42.40°C，平均 44.49°C，最高 46.00°C，温差为全体最大值 3.60°C。</w:t>
      </w:r>
    </w:p>
    <w:p>
      <w:r>
        <w:rPr>
          <w:b w:val="0"/>
        </w:rPr>
        <w:t>附近数分钟内最低温度多次下降和恢复，最高温度变化较小，平均值也下降。局部冷却、传感器接触或采集问题等解释需设备日志和独立通道核对。它不是单个孤立大数值，当前应保留并标记，不能直接判为传感器损坏或删除。</w:t>
      </w:r>
    </w:p>
    <w:p>
      <w:pPr>
        <w:pStyle w:val="Heading2"/>
        <w:pageBreakBefore/>
        <w:spacing w:before="0"/>
      </w:pPr>
      <w:r>
        <w:t>时间覆盖与重复时间戳</w:t>
      </w:r>
    </w:p>
    <w:p>
      <w:r>
        <w:rPr>
          <w:b w:val="0"/>
        </w:rPr>
      </w:r>
      <w:r>
        <w:rPr>
          <w:b/>
        </w:rPr>
        <w:t>整段缺失：</w:t>
      </w:r>
      <w:r>
        <w:rPr>
          <w:b w:val="0"/>
        </w:rPr>
        <w:t>官方第 3 段未提供，说明标注覆盖 2025 年 2 月 19 日至 3 月 11 日。另有月度 checkup 等段间暂停，不应全部称为传感器丢样。</w:t>
      </w:r>
    </w:p>
    <w:p>
      <w:r>
        <w:rPr>
          <w:b w:val="0"/>
        </w:rPr>
      </w:r>
      <w:r>
        <w:rPr>
          <w:b/>
        </w:rPr>
        <w:t>文件内部中断：</w:t>
      </w:r>
      <w:r>
        <w:rPr>
          <w:b w:val="0"/>
        </w:rPr>
        <w:t xml:space="preserve">以相邻间隔 &gt;30 秒筛查，共 6 处。间隔合计约 20.81 小时；每处减去一份常规 10 秒间隔后，超出约 </w:t>
      </w:r>
      <w:r>
        <w:rPr>
          <w:b/>
        </w:rPr>
        <w:t>20.79 小时</w:t>
      </w:r>
      <w:r>
        <w:rPr>
          <w:b w:val="0"/>
        </w:rPr>
        <w:t>。最长 59,909 秒，约 16 小时 38 分钟。该数字不含第 3 段及文件间隔，不能换算为精确的全实验缺失行数。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231"/>
        <w:gridCol w:w="3231"/>
        <w:gridCol w:w="2211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运行段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前一条记录时间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后一条记录时间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间隔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01-24 02:56:09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01-24 02:56:41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32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04-18 18:27:58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04-18 22:06:45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13,127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04-19 02:12:15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04-19 18:50:44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59,909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04-25 06:57:19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04-25 06:57:55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36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08-28 04:44:00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08-28 04:44:50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50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09-04 22:21:44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09-04 22:50:57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1,753 秒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重复时间戳：</w:t>
      </w:r>
      <w:r>
        <w:rPr>
          <w:b w:val="0"/>
        </w:rPr>
        <w:t>181 组，相当于 181 条超出唯一时间戳数量的记录。其中 119 组至少一个实测温度不同，同一时间戳最大温度差为 0.20°C。这属于采样与时钟对应关系待核对，尚不是已证明的温度坏值。</w:t>
      </w:r>
    </w:p>
    <w:p>
      <w:r>
        <w:rPr>
          <w:b w:val="0"/>
        </w:rPr>
      </w:r>
      <w:r>
        <w:rPr>
          <w:b/>
        </w:rPr>
        <w:t>参考测量温度：</w:t>
      </w:r>
      <w:r>
        <w:rPr>
          <w:b w:val="0"/>
        </w:rPr>
        <w:t>CK0 参考放电文件没有温度列，因此无法核对初始容量测量时的实际温度；这是未提供字段，与运行表空值不同。</w:t>
      </w:r>
    </w:p>
    <w:p>
      <w:pPr>
        <w:pStyle w:val="Heading2"/>
      </w:pPr>
      <w:r>
        <w:t>统计权重与使用边界</w:t>
      </w:r>
    </w:p>
    <w:p>
      <w:r>
        <w:rPr>
          <w:b w:val="0"/>
        </w:rPr>
        <w:t>主统计按记录行等权，没有去重或跨段补值。时间加权检查采用同文件下一条记录时间差，仅 0&lt;间隔≤30 秒时计权，零间隔和长缺口不计。两档平均偏差与按行结果之差均 &lt;0.00013°C，主要结论一致。</w:t>
      </w:r>
    </w:p>
    <w:p>
      <w:r>
        <w:rPr>
          <w:b w:val="0"/>
        </w:rPr>
        <w:t>本章覆盖 CK7 之后的公开数据。用于早期 CK 预测时，必须按截止时刻重算事件和统计，不能直接将本章全量均值作为早期参考。</w:t>
      </w:r>
    </w:p>
    <w:p>
      <w:pPr>
        <w:pStyle w:val="Heading2"/>
      </w:pPr>
      <w:r>
        <w:t>对后续分析的建议</w:t>
      </w:r>
    </w:p>
    <w:p>
      <w:pPr>
        <w:pStyle w:val="ListBullet"/>
      </w:pPr>
      <w:r>
        <w:rPr>
          <w:b w:val="0"/>
        </w:rPr>
        <w:t>分别保留实测平均温度、温箱设定温度及最高减最低温差。偏差不是纯测量误差，不作统一常数校正。</w:t>
      </w:r>
    </w:p>
    <w:p>
      <w:pPr>
        <w:pStyle w:val="ListBullet"/>
      </w:pPr>
      <w:r>
        <w:rPr>
          <w:b w:val="0"/>
        </w:rPr>
        <w:t>标记 67 行及其附近片段，后续比较保留与屏蔽的敏感性；长缺口和缺失段不直接线性插值。</w:t>
      </w:r>
    </w:p>
    <w:p>
      <w:pPr>
        <w:pStyle w:val="ListBullet"/>
      </w:pPr>
      <w:r>
        <w:rPr>
          <w:b w:val="0"/>
        </w:rPr>
        <w:t>本章只说明温度与数据质量，不能证明温度特征改善容量预测或候选片段属于电池故障；CK1至CK7 真值仍隐藏。</w:t>
      </w:r>
    </w:p>
    <w:p>
      <w:pPr>
        <w:pStyle w:val="Heading2"/>
        <w:pageBreakBefore/>
        <w:spacing w:before="0"/>
      </w:pPr>
      <w:r>
        <w:t>证据与复现入口</w:t>
      </w:r>
    </w:p>
    <w:p>
      <w:r>
        <w:rPr>
          <w:b w:val="0"/>
        </w:rPr>
        <w:t>以下路径均相对于项目文件夹“Arena 阶段 2 官方材料”。点击链接可打开本机文件；文档中的图表已嵌入，移动 Word 文件不影响查看图表。</w:t>
      </w:r>
    </w:p>
    <w:p>
      <w:pPr>
        <w:spacing w:after="80"/>
      </w:pPr>
      <w:hyperlink r:id="rId12">
        <w:r>
          <w:rPr>
            <w:u/>
          </w:rPr>
          <w:t>官方数据字段说明</w:t>
        </w:r>
      </w:hyperlink>
    </w:p>
    <w:p>
      <w:pPr>
        <w:spacing w:after="80"/>
      </w:pPr>
      <w:hyperlink r:id="rId13">
        <w:r>
          <w:rPr>
            <w:u/>
          </w:rPr>
          <w:t>温度分析完整文字记录</w:t>
        </w:r>
      </w:hyperlink>
    </w:p>
    <w:p>
      <w:pPr>
        <w:spacing w:after="80"/>
      </w:pPr>
      <w:hyperlink r:id="rId14">
        <w:r>
          <w:rPr>
            <w:u/>
          </w:rPr>
          <w:t>逐温度档位统计与百分位</w:t>
        </w:r>
      </w:hyperlink>
    </w:p>
    <w:p>
      <w:pPr>
        <w:spacing w:after="80"/>
      </w:pPr>
      <w:hyperlink r:id="rId15">
        <w:r>
          <w:rPr>
            <w:u/>
          </w:rPr>
          <w:t>逐运行段温度统计</w:t>
        </w:r>
      </w:hyperlink>
    </w:p>
    <w:p>
      <w:pPr>
        <w:spacing w:after="80"/>
      </w:pPr>
      <w:hyperlink r:id="rId16">
        <w:r>
          <w:rPr>
            <w:u/>
          </w:rPr>
          <w:t>67 行候选及相邻温度记录</w:t>
        </w:r>
      </w:hyperlink>
    </w:p>
    <w:p>
      <w:pPr>
        <w:spacing w:after="80"/>
      </w:pPr>
      <w:hyperlink r:id="rId17">
        <w:r>
          <w:rPr>
            <w:u/>
          </w:rPr>
          <w:t>采样中断清单</w:t>
        </w:r>
      </w:hyperlink>
    </w:p>
    <w:p>
      <w:pPr>
        <w:spacing w:after="80"/>
      </w:pPr>
      <w:hyperlink r:id="rId18">
        <w:r>
          <w:rPr>
            <w:u/>
          </w:rPr>
          <w:t>质量检查结果</w:t>
        </w:r>
      </w:hyperlink>
    </w:p>
    <w:p>
      <w:pPr>
        <w:spacing w:after="80"/>
      </w:pPr>
      <w:hyperlink r:id="rId19">
        <w:r>
          <w:rPr>
            <w:u/>
          </w:rPr>
          <w:t>完整结果及 13 个输入文件 SHA256</w:t>
        </w:r>
      </w:hyperlink>
    </w:p>
    <w:p>
      <w:pPr>
        <w:spacing w:after="80"/>
      </w:pPr>
      <w:hyperlink r:id="rId20">
        <w:r>
          <w:rPr>
            <w:u/>
          </w:rPr>
          <w:t>温度分析脚本</w:t>
        </w:r>
      </w:hyperlink>
    </w:p>
    <w:p>
      <w:r>
        <w:rPr>
          <w:b w:val="0"/>
        </w:rPr>
        <w:t>上述统计来自 2026 年 10 月 6 日对全部公开运行文件的分析。按运行段核对总行数为 1,572,894；候选清单核对 63+9−5=67 行，来源文件和时间戳组合无重复。</w:t>
      </w:r>
    </w:p>
    <w:p>
      <w:pPr>
        <w:pStyle w:val="Heading1"/>
        <w:pageBreakBefore/>
        <w:spacing w:before="0"/>
      </w:pPr>
      <w:r>
        <w:t>第二章 充放电量与容量相关趋势</w:t>
      </w:r>
    </w:p>
    <w:p>
      <w:r>
        <w:rPr>
          <w:b w:val="0"/>
        </w:rPr>
        <w:t xml:space="preserve">本章继续检查第二阶段官方四串电池组的充放电量、事件起止电压及其随时间的变化。范围为 data/operation/ 全部 13 个已公开文件，共 </w:t>
      </w:r>
      <w:r>
        <w:rPr>
          <w:b/>
        </w:rPr>
        <w:t>1,572,894 行</w:t>
      </w:r>
      <w:r>
        <w:rPr>
          <w:b w:val="0"/>
        </w:rPr>
        <w:t>，2025 年 1 月 19 日至 9 月 11 日，另核对 CK0 参考放电。</w:t>
      </w:r>
    </w:p>
    <w:p>
      <w:pPr>
        <w:pStyle w:val="Heading2"/>
      </w:pPr>
      <w:r>
        <w:t>主要结论</w:t>
      </w:r>
    </w:p>
    <w:p>
      <w:r>
        <w:rPr>
          <w:b w:val="0"/>
        </w:rPr>
        <w:t>充电结束电压非常稳定，但充电起点分为常规补充充电和较深充电两类。</w:t>
      </w:r>
      <w:r>
        <w:rPr>
          <w:b/>
        </w:rPr>
        <w:t>7 次 25°C 档位的较深充电，在组压 12.2→13.9 V 的统一窗口内，充入电量由 94.99 Ah 逐次降至 89.95 Ah，首末下降 5.31%。</w:t>
      </w:r>
      <w:r>
        <w:rPr>
          <w:b w:val="0"/>
        </w:rPr>
        <w:t>相邻大电压窗口的下降约为 5.27% 至 5.39%，支持容量相关充电特征存在衰减趋势。</w:t>
      </w:r>
    </w:p>
    <w:p>
      <w:r>
        <w:rPr>
          <w:b w:val="0"/>
        </w:rPr>
        <w:t>该下降是实测窗口电量的变化，尚不能精确等同于官方参考容量或 SOH 下降。常规充电也出现小幅下降；半小时放电脉冲的电量则由固定电流和时间决定，基本不变。</w:t>
      </w:r>
    </w:p>
    <w:p>
      <w:pPr>
        <w:pStyle w:val="Heading2"/>
      </w:pPr>
      <w:r>
        <w:t>数据来源与容量定义</w:t>
      </w:r>
    </w:p>
    <w:p>
      <w:r>
        <w:rPr>
          <w:b w:val="0"/>
        </w:rPr>
        <w:t>比赛第一阶段关注单芯长期循环老化与寿命，其原始文件位于 dataset original/；第二阶段关注四串电池组在指定日期的容量健康状态。本章主体只统计第二阶段，两者不是同一只电池的前后两个使用时期，测试协议也不能直接互换。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123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字段或测量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含义及容量判断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charge_Ah_cum / discharge_Ah_cum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试验运行开始后累计充入／放出 Ah，不清零。主要反映电荷通量，不能直接当作总容量。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CK0 的 discharged_Ah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单次参考放电从开始累计的 Ah。曲线末点为 100.412 Ah，官方发布容量为 100.41 Ah。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官方容量与 SOH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满充后以 5.1 A 放电至组端首次 11.2 V 的放出量；SOH = 容量 ÷ 102 Ah × 100%。CK0 为 98.44%。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四枚 102 Ah 电芯串联增加电压，容量分母仍为 102 Ah。运行记录的最低组压为 </w:t>
      </w:r>
      <w:r>
        <w:rPr>
          <w:b/>
        </w:rPr>
        <w:t>11.473 V</w:t>
      </w:r>
      <w:r>
        <w:rPr>
          <w:b w:val="0"/>
        </w:rPr>
        <w:t xml:space="preserve">，达到或低于 11.2 V 的行数为 </w:t>
      </w:r>
      <w:r>
        <w:rPr>
          <w:b/>
        </w:rPr>
        <w:t>0</w:t>
      </w:r>
      <w:r>
        <w:rPr>
          <w:b w:val="0"/>
        </w:rPr>
        <w:t>，因此这些可见运行段没有提供官方参考容量完整放电的截止证据。CK1—CK7 参考容量仍未公开。</w:t>
      </w:r>
    </w:p>
    <w:p>
      <w:pPr>
        <w:pStyle w:val="Heading2"/>
      </w:pPr>
      <w:r>
        <w:t>累计电量的通道语义需要复核</w:t>
      </w:r>
    </w:p>
    <w:p>
      <w:r>
        <w:rPr>
          <w:b w:val="0"/>
        </w:rPr>
        <w:t xml:space="preserve">最终运行记录的充电累计为 </w:t>
      </w:r>
      <w:r>
        <w:rPr>
          <w:b/>
        </w:rPr>
        <w:t>16,585.075 Ah</w:t>
      </w:r>
      <w:r>
        <w:rPr>
          <w:b w:val="0"/>
        </w:rPr>
        <w:t xml:space="preserve">，放电累计为 </w:t>
      </w:r>
      <w:r>
        <w:rPr>
          <w:b/>
        </w:rPr>
        <w:t>15,214.406 Ah</w:t>
      </w:r>
      <w:r>
        <w:rPr>
          <w:b w:val="0"/>
        </w:rPr>
        <w:t>，均是长期累计通量。第 3 段虽未提供，官方说明计数器继续累加；月度 checkup 的通量不计入运行计数器。两列相减不能直接给出总容量或当前剩余电量。</w:t>
      </w:r>
    </w:p>
    <w:p>
      <w:r>
        <w:rPr>
          <w:b w:val="0"/>
        </w:rPr>
        <w:t xml:space="preserve">2025-01-20 01:06:09 至 01:36:08 的 181 行脉冲中，电流约 −20.4 A，积分放电 </w:t>
      </w:r>
      <w:r>
        <w:rPr>
          <w:b/>
        </w:rPr>
        <w:t>10.19398 Ah</w:t>
      </w:r>
      <w:r>
        <w:rPr>
          <w:b w:val="0"/>
        </w:rPr>
        <w:t xml:space="preserve">，但 charge_Ah_cum 增加 </w:t>
      </w:r>
      <w:r>
        <w:rPr>
          <w:b/>
        </w:rPr>
        <w:t>10.200 Ah</w:t>
      </w:r>
      <w:r>
        <w:rPr>
          <w:b w:val="0"/>
        </w:rPr>
        <w:t xml:space="preserve">，discharge_Ah_cum 增加 </w:t>
      </w:r>
      <w:r>
        <w:rPr>
          <w:b/>
        </w:rPr>
        <w:t>0 Ah</w:t>
      </w:r>
      <w:r>
        <w:rPr>
          <w:b w:val="0"/>
        </w:rPr>
        <w:t>。这是局部通道语义与列名不一致的直接证据；不能据此认定两列全程交换。下文电量均从电流与实测时间积分，不以计数器列名直接取差。</w:t>
      </w:r>
    </w:p>
    <w:p>
      <w:pPr>
        <w:pStyle w:val="Heading2"/>
        <w:pageBreakBefore/>
        <w:spacing w:before="0"/>
      </w:pPr>
      <w:r>
        <w:t>事件识别与起止电压</w:t>
      </w:r>
    </w:p>
    <w:p>
      <w:r>
        <w:rPr>
          <w:b w:val="0"/>
        </w:rPr>
        <w:t>先按同一文件内 |I|&gt;0.5 A 的同向连续段识别事件，要求持续至少 15 分钟，不跨文件，不跨超过 30 秒的间隔，也不跨时间倒序。电流回到近零或改变方向时结束当前事件；重复时间戳的零时长不贡献积分。</w:t>
      </w:r>
    </w:p>
    <w:p>
      <w:r>
        <w:rPr>
          <w:b w:val="0"/>
        </w:rPr>
        <w:t>充电候选要求末个带载组压 ≥13.95 V 且中位电流 &gt;15 A，共 41 次。其充电前组压 ≥13.3 V 的 33 次归为常规补充充电，低于 13.3 V 的 8 次归为较深充电。两组实际起点范围明显分离；该阈值只用于本次描述分组。41 次充电候选的最大采样间隔均为 10 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680"/>
        <w:gridCol w:w="2098"/>
        <w:gridCol w:w="2098"/>
        <w:gridCol w:w="2041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事件类型</w:t>
            </w:r>
          </w:p>
        </w:tc>
        <w:tc>
          <w:tcPr>
            <w:tcW w:type="dxa" w:w="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首个带载</w:t>
              <w:br/>
              <w:t>组压 V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末个带载</w:t>
              <w:br/>
              <w:t>组压 V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整段电量</w:t>
              <w:br/>
              <w:t>Ah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常规补充充电</w:t>
            </w:r>
          </w:p>
        </w:tc>
        <w:tc>
          <w:tcPr>
            <w:tcW w:type="dxa" w:w="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33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13.407–13.439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14.008–14.010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20.637–21.758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较深充电</w:t>
            </w:r>
          </w:p>
        </w:tc>
        <w:tc>
          <w:tcPr>
            <w:tcW w:type="dxa" w:w="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11.617–12.037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14.009–14.010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91.975–100.143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约 20.4 A 半小时放电</w:t>
            </w:r>
          </w:p>
        </w:tc>
        <w:tc>
          <w:tcPr>
            <w:tcW w:type="dxa" w:w="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41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13.365–13.602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13.160–13.226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10.194–10.200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连续动态放电 ≥15 Ah</w:t>
            </w:r>
          </w:p>
        </w:tc>
        <w:tc>
          <w:tcPr>
            <w:tcW w:type="dxa" w:w="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444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13.065–13.400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12.846–13.305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15.618–50.232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充电起点必须区分通电前与通电后。33 次常规充电前的近零电流组压为 </w:t>
      </w:r>
      <w:r>
        <w:rPr>
          <w:b/>
        </w:rPr>
        <w:t>13.347–13.363 V</w:t>
      </w:r>
      <w:r>
        <w:rPr>
          <w:b w:val="0"/>
        </w:rPr>
        <w:t xml:space="preserve">，范围仅 16 mV；通电后的首个组压为 13.407–13.439 V。8 次较深充电前为 </w:t>
      </w:r>
      <w:r>
        <w:rPr>
          <w:b/>
        </w:rPr>
        <w:t>11.570–11.953 V</w:t>
      </w:r>
      <w:r>
        <w:rPr>
          <w:b w:val="0"/>
        </w:rPr>
        <w:t>，范围 383 mV。通电、停流时的电压跳变不能直接解释为 SOC 变化。</w:t>
      </w:r>
    </w:p>
    <w:p>
      <w:r>
        <w:rPr>
          <w:b w:val="0"/>
        </w:rPr>
        <w:t xml:space="preserve">41 次充电的末个带载组压为 14.008–14.010 V，范围仅 2 mV；停流后的首个组压回落至 </w:t>
      </w:r>
      <w:r>
        <w:rPr>
          <w:b/>
        </w:rPr>
        <w:t>13.979–13.987 V</w:t>
      </w:r>
      <w:r>
        <w:rPr>
          <w:b w:val="0"/>
        </w:rPr>
        <w:t>。比较事件端点时应始终采用相同的带载／近零电流口径。</w:t>
      </w:r>
    </w:p>
    <w:p>
      <w:pPr>
        <w:pStyle w:val="Heading2"/>
      </w:pPr>
      <w:r>
        <w:t>常规补充充电的电量变化</w:t>
      </w:r>
    </w:p>
    <w:p>
      <w:r>
        <w:rPr>
          <w:b w:val="0"/>
        </w:rPr>
        <w:t>从 33 次常规充电中排除各运行段首个事件，以减少此前工况差异，保留 28 次；按温箱档位分别比较最早 3 次与最晚 3 次的电量中位数，不混合温度。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361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温箱档位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匹配次数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最早 3 次</w:t>
              <w:br/>
              <w:t>中位 Ah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最晚 3 次</w:t>
              <w:br/>
              <w:t>中位 Ah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相对变化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25°C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21.445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20.945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−2.33%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45°C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21.407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20.703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−3.29%</w:t>
            </w:r>
          </w:p>
        </w:tc>
      </w:tr>
    </w:tbl>
    <w:p>
      <w:pPr>
        <w:spacing w:after="0"/>
      </w:pPr>
    </w:p>
    <w:p>
      <w:r>
        <w:rPr>
          <w:b w:val="0"/>
        </w:rPr>
        <w:t>25°C 档最早组为 2 月 16 日、3 月 19 日、4 月 22 日，最晚组为 8 月 2 日、8 月 7 日、9 月 6 日；整段平均芯温分别为 26.333°C、26.171°C。45°C 档最早组为 1 月 24 日、1 月 29 日、2 月 3 日，最晚组为 8 月 17 日、8 月 22 日、8 月 27 日；平均芯温分别为 46.458°C、46.203°C。</w:t>
      </w:r>
    </w:p>
    <w:p>
      <w:r>
        <w:rPr>
          <w:b w:val="0"/>
        </w:rPr>
        <w:t>常规补充充电电量的下降可作为辅助趋势证据，但实际芯温、充电前电压和前序运行状态仍有变化，不能直接将 −2.33% 或 −3.29% 写成官方总容量损失。</w:t>
      </w:r>
    </w:p>
    <w:p>
      <w:pPr>
        <w:pStyle w:val="Heading2"/>
        <w:pageBreakBefore/>
        <w:spacing w:before="0"/>
      </w:pPr>
      <w:r>
        <w:t>较深充电的固定电压窗口趋势</w:t>
      </w:r>
    </w:p>
    <w:p>
      <w:r>
        <w:rPr>
          <w:b w:val="0"/>
        </w:rPr>
        <w:t xml:space="preserve">8 次较深充电中，7 次在 25°C 温箱档位发生，唯一一次 45°C 事件不参与这条趋势。由于整段充电的低压起点有浮动，本次将各事件统一截取为组压 </w:t>
      </w:r>
      <w:r>
        <w:rPr>
          <w:b/>
        </w:rPr>
        <w:t>12.2→13.9 V</w:t>
      </w:r>
      <w:r>
        <w:rPr>
          <w:b w:val="0"/>
        </w:rPr>
        <w:t>，以提高事件可比性。</w:t>
      </w:r>
    </w:p>
    <w:p>
      <w:r>
        <w:rPr>
          <w:b w:val="0"/>
        </w:rPr>
        <w:t xml:space="preserve">取每次充电首次向上跨越两个阈值的时刻，并在相邻样本间线性插值。窗口内每个电流样本及插值边界均要求在 20.2–20.6 A 之间，实际约 20.4 A；再按时间和电流做梯形积分。整段事件平均芯温为 </w:t>
      </w:r>
      <w:r>
        <w:rPr>
          <w:b/>
        </w:rPr>
        <w:t>26.33–26.59°C</w:t>
      </w:r>
      <w:r>
        <w:rPr>
          <w:b w:val="0"/>
        </w:rPr>
        <w:t>，不是人为将实测温度统一为 25°C。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1247"/>
        <w:gridCol w:w="2891"/>
        <w:gridCol w:w="2778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充电开始日期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运行段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固定窗口</w:t>
              <w:br/>
              <w:t>电量 Ah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整段平均</w:t>
              <w:br/>
              <w:t>芯温 °C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2025-02-11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94.99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26.59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2025-03-14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93.61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26.47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2025-04-16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92.23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26.35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2025-05-19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91.73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26.40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2025-06-21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91.17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26.37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2025-07-28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90.61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26.33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2025-09-01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89.95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26.45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7 次窗口电量逐次下降。首末事件比较为 </w:t>
      </w:r>
      <w:r>
        <w:rPr>
          <w:b/>
        </w:rPr>
        <w:t>94.99494→89.95058 Ah</w:t>
      </w:r>
      <w:r>
        <w:rPr>
          <w:b w:val="0"/>
        </w:rPr>
        <w:t xml:space="preserve">，减少 </w:t>
      </w:r>
      <w:r>
        <w:rPr>
          <w:b/>
        </w:rPr>
        <w:t>5.04437 Ah，下降 5.31%</w:t>
      </w:r>
      <w:r>
        <w:rPr>
          <w:b w:val="0"/>
        </w:rPr>
        <w:t xml:space="preserve">，对应 2025-02-11 至 2025-09-01 的跨度。前 3 次与后 3 次中位数为 </w:t>
      </w:r>
      <w:r>
        <w:rPr>
          <w:b/>
        </w:rPr>
        <w:t>93.61225→90.61169 Ah，下降 3.21%</w:t>
      </w:r>
      <w:r>
        <w:rPr>
          <w:b w:val="0"/>
        </w:rPr>
        <w:t>；这比较的是不同时间范围，不能与首末变化混用。</w:t>
      </w:r>
    </w:p>
    <w:p>
      <w:pPr>
        <w:pStyle w:val="Heading2"/>
      </w:pPr>
      <w:r>
        <w:t>相邻大电压窗口的敏感性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2324"/>
        <w:gridCol w:w="2324"/>
        <w:gridCol w:w="2268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组压窗口 V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最早电量 Ah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最晚电量 Ah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首末变化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12.2→13.9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94.99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89.95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-5.31%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12.4→13.9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94.33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89.37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-5.27%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12.6→13.9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93.42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88.50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-5.27%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13.0→13.9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90.60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85.71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-5.39%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四个窗口的 7 次电量均逐次减少，首末变化为 </w:t>
      </w:r>
      <w:r>
        <w:rPr>
          <w:b/>
        </w:rPr>
        <w:t>−5.27% 至 −5.39%</w:t>
      </w:r>
      <w:r>
        <w:rPr>
          <w:b w:val="0"/>
        </w:rPr>
        <w:t>，说明本组较深充电的下降对所检查的大窗口较稳定。它们共用同一批事件，不能当作四次独立验证。</w:t>
      </w:r>
    </w:p>
    <w:p>
      <w:r>
        <w:rPr>
          <w:b w:val="0"/>
        </w:rPr>
        <w:t>本章据此记录：</w:t>
      </w:r>
      <w:r>
        <w:rPr>
          <w:b/>
        </w:rPr>
        <w:t>在相近温度、相同电流和固定组压窗口下，容量相关的充电电量特征持续下降。</w:t>
      </w:r>
      <w:r>
        <w:rPr>
          <w:b w:val="0"/>
        </w:rPr>
        <w:t>若要换算为总容量或 SOH，仍需确认电压对应的 SOC 范围和老化后的曲线变化，并用同组参考放电容量标定。</w:t>
      </w:r>
    </w:p>
    <w:p>
      <w:pPr>
        <w:pStyle w:val="Heading2"/>
        <w:pageBreakBefore/>
        <w:spacing w:before="0"/>
      </w:pPr>
      <w:r>
        <w:t>放电事件和窄窗口的使用边界</w:t>
      </w:r>
    </w:p>
    <w:p>
      <w:r>
        <w:rPr>
          <w:b w:val="0"/>
        </w:rPr>
        <w:t>41 次半小时脉冲电流约 −20.4 A，持续 29.983–30.000 分钟，放出 10.194–10.200 Ah。这个电量由程序设定的电流和持续时间决定，基本不随容量变化。起止组压存在浮动，更适合研究同温度、相似初始状态下的电压响应。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1247"/>
        <w:gridCol w:w="2835"/>
        <w:gridCol w:w="2835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脉冲温箱档位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首个带载组压 V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末个带载组压 V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25°C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13.365–13.411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13.160–13.171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45°C</w:t>
            </w:r>
          </w:p>
        </w:tc>
        <w:tc>
          <w:tcPr>
            <w:tcW w:type="dxa" w:w="124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13.462–13.602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13.212–13.226</w:t>
            </w:r>
          </w:p>
        </w:tc>
      </w:tr>
    </w:tbl>
    <w:p>
      <w:pPr>
        <w:spacing w:after="0"/>
      </w:pPr>
    </w:p>
    <w:p>
      <w:r>
        <w:rPr>
          <w:b w:val="0"/>
        </w:rPr>
        <w:t>另有 444 个连续动态放电段满足整段电量 ≥15 Ah；其带载端点、电流和持续时间范围较大。它们是按电流方向分出的操作片段，不等同于 444 次完整循环，也不能直接比较整段电量得出容量衰减。</w:t>
      </w:r>
    </w:p>
    <w:p>
      <w:pPr>
        <w:pStyle w:val="Heading2"/>
      </w:pPr>
      <w:r>
        <w:t>窄电压窗口的电量下降并不等于容量同比下降</w:t>
      </w:r>
    </w:p>
    <w:p>
      <w:r>
        <w:rPr>
          <w:b w:val="0"/>
        </w:rPr>
        <w:t xml:space="preserve">同一批 19 次匹配的 45°C 常规充电，按最早 3 次与最晚 3 次中位数比较：13.5→13.9 V 窗口变化为 </w:t>
      </w:r>
      <w:r>
        <w:rPr>
          <w:b/>
        </w:rPr>
        <w:t>−4.51%</w:t>
      </w:r>
      <w:r>
        <w:rPr>
          <w:b w:val="0"/>
        </w:rPr>
        <w:t xml:space="preserve">，13.6→13.9 V 为 </w:t>
      </w:r>
      <w:r>
        <w:rPr>
          <w:b/>
        </w:rPr>
        <w:t>−12.44%</w:t>
      </w:r>
      <w:r>
        <w:rPr>
          <w:b w:val="0"/>
        </w:rPr>
        <w:t xml:space="preserve">，13.7→13.9 V 为 </w:t>
      </w:r>
      <w:r>
        <w:rPr>
          <w:b/>
        </w:rPr>
        <w:t>−4.67%</w:t>
      </w:r>
      <w:r>
        <w:rPr>
          <w:b w:val="0"/>
        </w:rPr>
        <w:t xml:space="preserve">，13.8→13.9 V 约 </w:t>
      </w:r>
      <w:r>
        <w:rPr>
          <w:b/>
        </w:rPr>
        <w:t>−0.02%</w:t>
      </w:r>
      <w:r>
        <w:rPr>
          <w:b w:val="0"/>
        </w:rPr>
        <w:t>。局部电量对窗口选择明显敏感，不能挑选某个百分比当作总容量下降。</w:t>
      </w:r>
    </w:p>
    <w:p>
      <w:r>
        <w:rPr>
          <w:b w:val="0"/>
        </w:rPr>
        <w:t>LFP 的电压平台、滞后、内阻和极化，以及实际温度和前序充放电状态，会改变相同端电压所对应的 SOC。较深充电的大窗口结果具有更一致的趋势，但仍只代表本组数据中的容量相关代理指标。</w:t>
      </w:r>
    </w:p>
    <w:p>
      <w:pPr>
        <w:pStyle w:val="Heading2"/>
      </w:pPr>
      <w:r>
        <w:t>积分口径与因果边界</w:t>
      </w:r>
    </w:p>
    <w:p>
      <w:r>
        <w:rPr>
          <w:b w:val="0"/>
        </w:rPr>
        <w:t>连续充电电量按 Σ[(I前+I后)×Δt]/7200 计算，电流单位 A、时间单位秒；放电取相反数。整段电量只积分首末带载样本，不向步骤边界外推，不跨长缺口。固定窗口在阈值处插值，只积分窗口内电流。</w:t>
      </w:r>
    </w:p>
    <w:p>
      <w:r>
        <w:rPr>
          <w:b w:val="0"/>
        </w:rPr>
        <w:t xml:space="preserve">大窗口电量与“20.4 A×实测窗口时长”的最大相对差约 </w:t>
      </w:r>
      <w:r>
        <w:rPr>
          <w:b/>
        </w:rPr>
        <w:t>0.00136%</w:t>
      </w:r>
      <w:r>
        <w:rPr>
          <w:b w:val="0"/>
        </w:rPr>
        <w:t>，单位换算与恒流时长核对一致。全部分析覆盖 CK7 之后的数据；用于早期检查点预测时必须按当时可见历史重算。9 月事件不能用于回填 8 月或更早检查点的特征。</w:t>
      </w:r>
    </w:p>
    <w:p>
      <w:r>
        <w:rPr>
          <w:b w:val="0"/>
        </w:rPr>
        <w:t>本次没有新增官方容量标签，也没有验证容量预测误差。后续优先保留较深充电大窗口电量、常规补充充电电量、实际温度和端点状态，并用配对参考容量检查其与 SOH 的关系。</w:t>
      </w:r>
    </w:p>
    <w:p>
      <w:pPr>
        <w:pStyle w:val="Heading2"/>
        <w:pageBreakBefore/>
        <w:spacing w:before="0"/>
      </w:pPr>
      <w:r>
        <w:t>本章证据与复现入口</w:t>
      </w:r>
    </w:p>
    <w:p>
      <w:r>
        <w:rPr>
          <w:b w:val="0"/>
        </w:rPr>
        <w:t>以下文件位于项目文件夹“Arena 阶段 2 官方材料”。逐事件记录保留开始前、首末带载、停流后电压，以及温度、电流、电量、时间和采样间隔，便于复核筛选条件。</w:t>
      </w:r>
    </w:p>
    <w:p>
      <w:hyperlink r:id="rId22">
        <w:r>
          <w:rPr>
            <w:color w:val="1F4E79"/>
          </w:rPr>
          <w:t>充放电字段与 CK0 核对结果</w:t>
        </w:r>
      </w:hyperlink>
    </w:p>
    <w:p>
      <w:hyperlink r:id="rId23">
        <w:r>
          <w:rPr>
            <w:color w:val="1F4E79"/>
          </w:rPr>
          <w:t>充放电端点与分组汇总</w:t>
        </w:r>
      </w:hyperlink>
    </w:p>
    <w:p>
      <w:hyperlink r:id="rId24">
        <w:r>
          <w:rPr>
            <w:color w:val="1F4E79"/>
          </w:rPr>
          <w:t>逐事件电压电流温度与电量</w:t>
        </w:r>
      </w:hyperlink>
    </w:p>
    <w:p>
      <w:hyperlink r:id="rId25">
        <w:r>
          <w:rPr>
            <w:color w:val="1F4E79"/>
          </w:rPr>
          <w:t>固定恒流电压窗口的逐次电量</w:t>
        </w:r>
      </w:hyperlink>
    </w:p>
    <w:p>
      <w:hyperlink r:id="rId26">
        <w:r>
          <w:rPr>
            <w:color w:val="1F4E79"/>
          </w:rPr>
          <w:t>事件端点与窗口积分复算脚本</w:t>
        </w:r>
      </w:hyperlink>
    </w:p>
    <w:p>
      <w:hyperlink r:id="rId27">
        <w:r>
          <w:rPr>
            <w:color w:val="1F4E79"/>
          </w:rPr>
          <w:t>既有 41 次放电脉冲计数器核对</w:t>
        </w:r>
      </w:hyperlink>
    </w:p>
    <w:p>
      <w:hyperlink r:id="rId12">
        <w:r>
          <w:rPr>
            <w:color w:val="1F4E79"/>
          </w:rPr>
          <w:t>官方数据字段与容量定义</w:t>
        </w:r>
      </w:hyperlink>
    </w:p>
    <w:p>
      <w:hyperlink r:id="rId28">
        <w:r>
          <w:rPr>
            <w:color w:val="1F4E79"/>
          </w:rPr>
          <w:t>LFP 电压平台与温度相关滞后研究</w:t>
        </w:r>
      </w:hyperlink>
    </w:p>
    <w:p>
      <w:r>
        <w:rPr>
          <w:b w:val="0"/>
        </w:rPr>
        <w:t>本章补充说明第一阶段字段差异：抽查单芯原始文件的 step_capacity_Ah 是当前步骤累计量，第 2 循环约 100 A 放至 2.5 V 的末值为 105.1542 Ah，独立积分约 105.1702 Ah。确认此前满充和步骤完整后可反映该工况下的单芯放电容量，但不能直接替代第二阶段 5.1 A、四串组压 11.2 V 的参考容量。本章没有审核第一阶段全部文件或循环。</w:t>
      </w:r>
    </w:p>
    <w:p>
      <w:r>
        <w:rPr>
          <w:b w:val="0"/>
        </w:rPr>
        <w:t>章节新增于 2026 年 10 月 6 日。41 次完整充电候选与既有事件审查数量一致；本次从原始运行文件重新提取整段事件，采用的边界与官方示例 13.4 V 起始局部窗口不同，因此两个电量数值不应直接混用。</w:t>
      </w:r>
    </w:p>
    <w:p>
      <w:pPr>
        <w:pStyle w:val="Heading1"/>
        <w:keepNext/>
      </w:pPr>
      <w:r>
        <w:t>后续章节的记录方式</w:t>
      </w:r>
    </w:p>
    <w:p>
      <w:r>
        <w:t>后续原始数据总结沿用 Word 的“标题 1”添加第三章、第四章等，章节内部使用“标题 2”组织内容，以便通过导航窗格查阅。当前不预填未分析字段的结论。</w:t>
      </w:r>
    </w:p>
    <w:p>
      <w:pPr>
        <w:pStyle w:val="ListBullet"/>
      </w:pPr>
      <w:r>
        <w:rPr>
          <w:b w:val="0"/>
        </w:rPr>
      </w:r>
      <w:r>
        <w:rPr>
          <w:b/>
        </w:rPr>
        <w:t>范围和字段：</w:t>
      </w:r>
      <w:r>
        <w:rPr>
          <w:b w:val="0"/>
        </w:rPr>
        <w:t>记录来源文件、时间范围、行数、字段含义、单位及已知限制。</w:t>
      </w:r>
    </w:p>
    <w:p>
      <w:pPr>
        <w:pStyle w:val="ListBullet"/>
      </w:pPr>
      <w:r>
        <w:rPr>
          <w:b w:val="0"/>
        </w:rPr>
      </w:r>
      <w:r>
        <w:rPr>
          <w:b/>
        </w:rPr>
        <w:t>统计结果：</w:t>
      </w:r>
      <w:r>
        <w:rPr>
          <w:b w:val="0"/>
        </w:rPr>
        <w:t>列出总体和必要分组的均值、分位数与极值，并说明权重、筛选与图表口径。</w:t>
      </w:r>
    </w:p>
    <w:p>
      <w:pPr>
        <w:pStyle w:val="ListBullet"/>
      </w:pPr>
      <w:r>
        <w:rPr>
          <w:b w:val="0"/>
        </w:rPr>
      </w:r>
      <w:r>
        <w:rPr>
          <w:b/>
        </w:rPr>
        <w:t>缺失与异常：</w:t>
      </w:r>
      <w:r>
        <w:rPr>
          <w:b w:val="0"/>
        </w:rPr>
        <w:t>区分字段空值、整段缺失、时间中断和筛查候选；明确阈值、数量、占比和重叠。</w:t>
      </w:r>
    </w:p>
    <w:p>
      <w:pPr>
        <w:pStyle w:val="ListBullet"/>
      </w:pPr>
      <w:r>
        <w:rPr>
          <w:b w:val="0"/>
        </w:rPr>
      </w:r>
      <w:r>
        <w:rPr>
          <w:b/>
        </w:rPr>
        <w:t>结论与证据：</w:t>
      </w:r>
      <w:r>
        <w:rPr>
          <w:b w:val="0"/>
        </w:rPr>
        <w:t>区分直接观测与解释假设，保存原始行、统计清单和复现入口。</w:t>
      </w:r>
    </w:p>
    <w:p>
      <w:pPr>
        <w:pStyle w:val="ListBullet"/>
      </w:pPr>
      <w:r>
        <w:rPr>
          <w:b w:val="0"/>
        </w:rPr>
      </w:r>
      <w:r>
        <w:rPr>
          <w:b/>
        </w:rPr>
        <w:t>更新登记：</w:t>
      </w:r>
      <w:r>
        <w:rPr>
          <w:b w:val="0"/>
        </w:rPr>
        <w:t>新增章节或修正旧结论时，更新首页日期、版本及更新记录，注明被修正的内容和依据。</w:t>
      </w:r>
    </w:p>
    <w:sectPr w:rsidR="00FC693F" w:rsidRPr="0006063C" w:rsidSect="00034616">
      <w:footerReference w:type="default" r:id="rId21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官方原始数据分析记录　｜　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80" w:line="259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80" w:line="25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80" w:line="259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59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59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9" w:lineRule="auto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60"/>
    </w:pPr>
    <w:rPr>
      <w:rFonts w:ascii="Arial Unicode MS" w:hAnsi="Arial Unicode MS" w:eastAsia="Arial Unicode MS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file:///Users/shane/Desktop/Arena%20%E9%98%B6%E6%AE%B5%202%20%E5%AE%98%E6%96%B9%E6%9D%90%E6%96%99/data/DATA_DESCRIPTION.md" TargetMode="External"/><Relationship Id="rId13" Type="http://schemas.openxmlformats.org/officeDocument/2006/relationships/hyperlink" Target="file:///Users/shane/Desktop/Arena%20%E9%98%B6%E6%AE%B5%202%20%E5%AE%98%E6%96%B9%E6%9D%90%E6%96%99/%E5%AE%98%E6%96%B9%E6%B8%A9%E5%BA%A6%E6%95%B0%E6%8D%AE%E5%88%86%E6%9E%90%E6%80%BB%E7%BB%93_20261006.md" TargetMode="External"/><Relationship Id="rId14" Type="http://schemas.openxmlformats.org/officeDocument/2006/relationships/hyperlink" Target="file:///Users/shane/Desktop/Arena%20%E9%98%B6%E6%AE%B5%202%20%E5%AE%98%E6%96%B9%E6%9D%90%E6%96%99/research/official_temperature_review_20261006/temperature_statistics.csv" TargetMode="External"/><Relationship Id="rId15" Type="http://schemas.openxmlformats.org/officeDocument/2006/relationships/hyperlink" Target="file:///Users/shane/Desktop/Arena%20%E9%98%B6%E6%AE%B5%202%20%E5%AE%98%E6%96%B9%E6%9D%90%E6%96%99/research/official_temperature_review_20261006/segment_statistics.csv" TargetMode="External"/><Relationship Id="rId16" Type="http://schemas.openxmlformats.org/officeDocument/2006/relationships/hyperlink" Target="file:///Users/shane/Desktop/Arena%20%E9%98%B6%E6%AE%B5%202%20%E5%AE%98%E6%96%B9%E6%9D%90%E6%96%99/research/official_temperature_review_20261006/temperature_review_candidates.csv" TargetMode="External"/><Relationship Id="rId17" Type="http://schemas.openxmlformats.org/officeDocument/2006/relationships/hyperlink" Target="file:///Users/shane/Desktop/Arena%20%E9%98%B6%E6%AE%B5%202%20%E5%AE%98%E6%96%B9%E6%9D%90%E6%96%99/research/official_temperature_review_20261006/within_file_recording_gaps.csv" TargetMode="External"/><Relationship Id="rId18" Type="http://schemas.openxmlformats.org/officeDocument/2006/relationships/hyperlink" Target="file:///Users/shane/Desktop/Arena%20%E9%98%B6%E6%AE%B5%202%20%E5%AE%98%E6%96%B9%E6%9D%90%E6%96%99/research/official_temperature_review_20261006/quality_results.json" TargetMode="External"/><Relationship Id="rId19" Type="http://schemas.openxmlformats.org/officeDocument/2006/relationships/hyperlink" Target="file:///Users/shane/Desktop/Arena%20%E9%98%B6%E6%AE%B5%202%20%E5%AE%98%E6%96%B9%E6%9D%90%E6%96%99/research/official_temperature_review_20261006/analysis_results.json" TargetMode="External"/><Relationship Id="rId20" Type="http://schemas.openxmlformats.org/officeDocument/2006/relationships/hyperlink" Target="file:///Users/shane/Desktop/Arena%20%E9%98%B6%E6%AE%B5%202%20%E5%AE%98%E6%96%B9%E6%9D%90%E6%96%99/research/official_temperature_review_20261006/analyze_temperature.py" TargetMode="External"/><Relationship Id="rId21" Type="http://schemas.openxmlformats.org/officeDocument/2006/relationships/footer" Target="footer1.xml"/><Relationship Id="rId22" Type="http://schemas.openxmlformats.org/officeDocument/2006/relationships/hyperlink" Target="file:///Users/shane/Desktop/Arena%20%E9%98%B6%E6%AE%B5%202%20%E5%AE%98%E6%96%B9%E6%9D%90%E6%96%99/research/charge_capacity_review_20261006/findings.json" TargetMode="External"/><Relationship Id="rId23" Type="http://schemas.openxmlformats.org/officeDocument/2006/relationships/hyperlink" Target="file:///Users/shane/Desktop/Arena%20%E9%98%B6%E6%AE%B5%202%20%E5%AE%98%E6%96%B9%E6%9D%90%E6%96%99/research/charge_capacity_review_20261006/endpoint_summary.json" TargetMode="External"/><Relationship Id="rId24" Type="http://schemas.openxmlformats.org/officeDocument/2006/relationships/hyperlink" Target="file:///Users/shane/Desktop/Arena%20%E9%98%B6%E6%AE%B5%202%20%E5%AE%98%E6%96%B9%E6%9D%90%E6%96%99/research/charge_capacity_review_20261006/operating_events.csv" TargetMode="External"/><Relationship Id="rId25" Type="http://schemas.openxmlformats.org/officeDocument/2006/relationships/hyperlink" Target="file:///Users/shane/Desktop/Arena%20%E9%98%B6%E6%AE%B5%202%20%E5%AE%98%E6%96%B9%E6%9D%90%E6%96%99/research/charge_capacity_review_20261006/fixed_CC_voltage_windows.csv" TargetMode="External"/><Relationship Id="rId26" Type="http://schemas.openxmlformats.org/officeDocument/2006/relationships/hyperlink" Target="file:///Users/shane/Desktop/Arena%20%E9%98%B6%E6%AE%B5%202%20%E5%AE%98%E6%96%B9%E6%9D%90%E6%96%99/research/charge_capacity_review_20261006/analyze_event_endpoints.py" TargetMode="External"/><Relationship Id="rId27" Type="http://schemas.openxmlformats.org/officeDocument/2006/relationships/hyperlink" Target="file:///Users/shane/Desktop/Arena%20%E9%98%B6%E6%AE%B5%202%20%E5%AE%98%E6%96%B9%E6%9D%90%E6%96%99/research/phase2_baseline_repair/outputs/counter_audit.csv" TargetMode="External"/><Relationship Id="rId28" Type="http://schemas.openxmlformats.org/officeDocument/2006/relationships/hyperlink" Target="https://publications.rwth-aachen.de/record/1019597/files/101959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官方原始数据分析记录</dc:title>
  <dc:subject>TechArena 2026 Challenge 2 官方原始数据的统计与质量检查</dc:subject>
  <dc:creator>项目组</dc:creator>
  <cp:keywords>LFP SOH 温度 充放电量 固定电压窗口 原始数据 数据质量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